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3B0" w:rsidRPr="00F67947" w:rsidRDefault="00AA2EA0" w:rsidP="00F67947">
      <w:pPr>
        <w:pStyle w:val="Heading1"/>
        <w:jc w:val="center"/>
        <w:rPr>
          <w:sz w:val="36"/>
          <w:szCs w:val="36"/>
        </w:rPr>
      </w:pPr>
      <w:bookmarkStart w:id="0" w:name="_Ref293919695"/>
      <w:proofErr w:type="spellStart"/>
      <w:r w:rsidRPr="00F67947">
        <w:rPr>
          <w:sz w:val="36"/>
          <w:szCs w:val="36"/>
        </w:rPr>
        <w:t>Burðardyggur</w:t>
      </w:r>
      <w:proofErr w:type="spellEnd"/>
      <w:r w:rsidRPr="00F67947">
        <w:rPr>
          <w:sz w:val="36"/>
          <w:szCs w:val="36"/>
        </w:rPr>
        <w:t xml:space="preserve"> </w:t>
      </w:r>
      <w:proofErr w:type="spellStart"/>
      <w:r w:rsidRPr="00F67947">
        <w:rPr>
          <w:sz w:val="36"/>
          <w:szCs w:val="36"/>
        </w:rPr>
        <w:t>fiskiskapur</w:t>
      </w:r>
      <w:proofErr w:type="spellEnd"/>
      <w:r w:rsidRPr="00F67947">
        <w:rPr>
          <w:sz w:val="36"/>
          <w:szCs w:val="36"/>
        </w:rPr>
        <w:t xml:space="preserve"> </w:t>
      </w:r>
      <w:proofErr w:type="spellStart"/>
      <w:r w:rsidRPr="00F67947">
        <w:rPr>
          <w:sz w:val="36"/>
          <w:szCs w:val="36"/>
        </w:rPr>
        <w:t>eftir</w:t>
      </w:r>
      <w:proofErr w:type="spellEnd"/>
      <w:r w:rsidRPr="00F67947">
        <w:rPr>
          <w:sz w:val="36"/>
          <w:szCs w:val="36"/>
        </w:rPr>
        <w:t xml:space="preserve"> </w:t>
      </w:r>
      <w:proofErr w:type="spellStart"/>
      <w:r w:rsidRPr="00F67947">
        <w:rPr>
          <w:sz w:val="36"/>
          <w:szCs w:val="36"/>
        </w:rPr>
        <w:t>upsa</w:t>
      </w:r>
      <w:proofErr w:type="spellEnd"/>
    </w:p>
    <w:p w:rsidR="00AA2EA0" w:rsidRPr="002B685E" w:rsidRDefault="00AA2EA0" w:rsidP="00AA2EA0">
      <w:pPr>
        <w:spacing w:after="0"/>
        <w:jc w:val="center"/>
      </w:pPr>
      <w:r w:rsidRPr="002B685E">
        <w:t xml:space="preserve">Luis </w:t>
      </w:r>
      <w:proofErr w:type="spellStart"/>
      <w:r w:rsidRPr="002B685E">
        <w:t>Ridao</w:t>
      </w:r>
      <w:proofErr w:type="spellEnd"/>
      <w:r w:rsidRPr="002B685E">
        <w:t xml:space="preserve"> Cruz</w:t>
      </w:r>
    </w:p>
    <w:p w:rsidR="00AA2EA0" w:rsidRPr="00AA2EA0" w:rsidRDefault="00AA2EA0" w:rsidP="00AA2EA0">
      <w:pPr>
        <w:spacing w:after="0"/>
        <w:jc w:val="center"/>
        <w:rPr>
          <w:b/>
        </w:rPr>
      </w:pPr>
      <w:r w:rsidRPr="00AA2EA0">
        <w:rPr>
          <w:b/>
        </w:rPr>
        <w:t>luisr@hav.fo</w:t>
      </w:r>
    </w:p>
    <w:p w:rsidR="00AA2EA0" w:rsidRDefault="00AA2EA0" w:rsidP="00C83777">
      <w:pPr>
        <w:pBdr>
          <w:bottom w:val="single" w:sz="12" w:space="1" w:color="auto"/>
        </w:pBdr>
        <w:spacing w:after="0"/>
        <w:jc w:val="center"/>
      </w:pPr>
      <w:proofErr w:type="spellStart"/>
      <w:r w:rsidRPr="002B685E">
        <w:t>Havstovan</w:t>
      </w:r>
      <w:proofErr w:type="spellEnd"/>
    </w:p>
    <w:p w:rsidR="00C83777" w:rsidRDefault="00C83777" w:rsidP="008769B0">
      <w:pPr>
        <w:spacing w:after="0"/>
        <w:jc w:val="center"/>
      </w:pPr>
    </w:p>
    <w:p w:rsidR="008769B0" w:rsidRPr="008769B0" w:rsidRDefault="008769B0" w:rsidP="00097DD5">
      <w:pPr>
        <w:pStyle w:val="ListParagraph"/>
        <w:numPr>
          <w:ilvl w:val="0"/>
          <w:numId w:val="2"/>
        </w:numPr>
        <w:spacing w:after="0"/>
        <w:rPr>
          <w:b/>
        </w:rPr>
      </w:pPr>
      <w:r w:rsidRPr="008769B0">
        <w:rPr>
          <w:b/>
        </w:rPr>
        <w:fldChar w:fldCharType="begin"/>
      </w:r>
      <w:r w:rsidRPr="008769B0">
        <w:rPr>
          <w:b/>
        </w:rPr>
        <w:instrText xml:space="preserve"> REF _Ref296503098 \h </w:instrText>
      </w:r>
      <w:r w:rsidRPr="008769B0">
        <w:rPr>
          <w:b/>
        </w:rPr>
      </w:r>
      <w:r w:rsidRPr="008769B0">
        <w:rPr>
          <w:b/>
        </w:rPr>
        <w:instrText xml:space="preserve"> \* MERGEFORMAT </w:instrText>
      </w:r>
      <w:r w:rsidRPr="008769B0">
        <w:rPr>
          <w:b/>
        </w:rPr>
        <w:fldChar w:fldCharType="separate"/>
      </w:r>
      <w:r w:rsidRPr="008769B0">
        <w:rPr>
          <w:b/>
          <w:lang w:val="da-DK"/>
        </w:rPr>
        <w:t>Introd</w:t>
      </w:r>
      <w:r w:rsidRPr="008769B0">
        <w:rPr>
          <w:b/>
          <w:lang w:val="da-DK"/>
        </w:rPr>
        <w:t>u</w:t>
      </w:r>
      <w:r w:rsidRPr="008769B0">
        <w:rPr>
          <w:b/>
          <w:lang w:val="da-DK"/>
        </w:rPr>
        <w:t>ction</w:t>
      </w:r>
      <w:r w:rsidRPr="008769B0">
        <w:rPr>
          <w:b/>
        </w:rPr>
        <w:fldChar w:fldCharType="end"/>
      </w:r>
    </w:p>
    <w:p w:rsidR="00097DD5" w:rsidRPr="008769B0" w:rsidRDefault="00097DD5" w:rsidP="00097DD5">
      <w:pPr>
        <w:pStyle w:val="ListParagraph"/>
        <w:numPr>
          <w:ilvl w:val="0"/>
          <w:numId w:val="2"/>
        </w:numPr>
        <w:spacing w:after="0"/>
        <w:rPr>
          <w:b/>
        </w:rPr>
      </w:pPr>
      <w:r w:rsidRPr="008769B0">
        <w:rPr>
          <w:b/>
        </w:rPr>
        <w:fldChar w:fldCharType="begin"/>
      </w:r>
      <w:r w:rsidRPr="008769B0">
        <w:rPr>
          <w:b/>
        </w:rPr>
        <w:instrText xml:space="preserve"> REF _Ref296503100 \h </w:instrText>
      </w:r>
      <w:r w:rsidRPr="008769B0">
        <w:rPr>
          <w:b/>
        </w:rPr>
      </w:r>
      <w:r w:rsidR="008769B0" w:rsidRPr="008769B0">
        <w:rPr>
          <w:b/>
        </w:rPr>
        <w:instrText xml:space="preserve"> \* MERGEFORMAT </w:instrText>
      </w:r>
      <w:r w:rsidRPr="008769B0">
        <w:rPr>
          <w:b/>
        </w:rPr>
        <w:fldChar w:fldCharType="separate"/>
      </w:r>
      <w:r w:rsidRPr="008769B0">
        <w:rPr>
          <w:b/>
          <w:lang w:val="da-DK"/>
        </w:rPr>
        <w:t>Met</w:t>
      </w:r>
      <w:r w:rsidRPr="008769B0">
        <w:rPr>
          <w:b/>
          <w:lang w:val="da-DK"/>
        </w:rPr>
        <w:t>h</w:t>
      </w:r>
      <w:r w:rsidRPr="008769B0">
        <w:rPr>
          <w:b/>
          <w:lang w:val="da-DK"/>
        </w:rPr>
        <w:t>o</w:t>
      </w:r>
      <w:r w:rsidRPr="008769B0">
        <w:rPr>
          <w:b/>
          <w:lang w:val="da-DK"/>
        </w:rPr>
        <w:t>d</w:t>
      </w:r>
      <w:r w:rsidRPr="008769B0">
        <w:rPr>
          <w:b/>
          <w:lang w:val="da-DK"/>
        </w:rPr>
        <w:t>s</w:t>
      </w:r>
      <w:r w:rsidRPr="008769B0">
        <w:rPr>
          <w:b/>
        </w:rPr>
        <w:fldChar w:fldCharType="end"/>
      </w:r>
    </w:p>
    <w:p w:rsidR="00097DD5" w:rsidRDefault="008769B0" w:rsidP="00097DD5">
      <w:pPr>
        <w:pStyle w:val="ListParagraph"/>
        <w:numPr>
          <w:ilvl w:val="0"/>
          <w:numId w:val="2"/>
        </w:numPr>
        <w:spacing w:after="0"/>
        <w:rPr>
          <w:b/>
        </w:rPr>
      </w:pPr>
      <w:r w:rsidRPr="008769B0">
        <w:rPr>
          <w:b/>
        </w:rPr>
        <w:fldChar w:fldCharType="begin"/>
      </w:r>
      <w:r w:rsidRPr="008769B0">
        <w:rPr>
          <w:b/>
        </w:rPr>
        <w:instrText xml:space="preserve"> REF _Ref296503117 \h </w:instrText>
      </w:r>
      <w:r w:rsidRPr="008769B0">
        <w:rPr>
          <w:b/>
        </w:rPr>
      </w:r>
      <w:r w:rsidRPr="008769B0">
        <w:rPr>
          <w:b/>
        </w:rPr>
        <w:instrText xml:space="preserve"> \* MERGEFORMAT </w:instrText>
      </w:r>
      <w:r w:rsidRPr="008769B0">
        <w:rPr>
          <w:b/>
        </w:rPr>
        <w:fldChar w:fldCharType="separate"/>
      </w:r>
      <w:r w:rsidRPr="008769B0">
        <w:rPr>
          <w:b/>
          <w:lang w:val="da-DK"/>
        </w:rPr>
        <w:t>Re</w:t>
      </w:r>
      <w:r w:rsidRPr="008769B0">
        <w:rPr>
          <w:b/>
          <w:lang w:val="da-DK"/>
        </w:rPr>
        <w:t>s</w:t>
      </w:r>
      <w:r w:rsidRPr="008769B0">
        <w:rPr>
          <w:b/>
          <w:lang w:val="da-DK"/>
        </w:rPr>
        <w:t>u</w:t>
      </w:r>
      <w:r w:rsidRPr="008769B0">
        <w:rPr>
          <w:b/>
          <w:lang w:val="da-DK"/>
        </w:rPr>
        <w:t>lts</w:t>
      </w:r>
      <w:r w:rsidRPr="008769B0">
        <w:rPr>
          <w:b/>
        </w:rPr>
        <w:fldChar w:fldCharType="end"/>
      </w:r>
    </w:p>
    <w:p w:rsidR="008769B0" w:rsidRDefault="008769B0" w:rsidP="00097DD5">
      <w:pPr>
        <w:pStyle w:val="ListParagraph"/>
        <w:numPr>
          <w:ilvl w:val="0"/>
          <w:numId w:val="2"/>
        </w:numPr>
        <w:pBdr>
          <w:bottom w:val="single" w:sz="12" w:space="1" w:color="auto"/>
        </w:pBdr>
        <w:spacing w:after="0"/>
        <w:rPr>
          <w:b/>
        </w:rPr>
      </w:pPr>
      <w:fldSimple w:instr=" REF _Ref296503122 \h  \* MERGEFORMAT ">
        <w:r w:rsidRPr="008769B0">
          <w:rPr>
            <w:b/>
          </w:rPr>
          <w:t>Refer</w:t>
        </w:r>
        <w:r w:rsidRPr="008769B0">
          <w:rPr>
            <w:b/>
          </w:rPr>
          <w:t>e</w:t>
        </w:r>
        <w:r w:rsidRPr="008769B0">
          <w:rPr>
            <w:b/>
          </w:rPr>
          <w:t>n</w:t>
        </w:r>
        <w:r w:rsidRPr="008769B0">
          <w:rPr>
            <w:b/>
          </w:rPr>
          <w:t>c</w:t>
        </w:r>
        <w:r w:rsidRPr="008769B0">
          <w:rPr>
            <w:b/>
          </w:rPr>
          <w:t>es</w:t>
        </w:r>
      </w:fldSimple>
    </w:p>
    <w:p w:rsidR="008769B0" w:rsidRPr="008769B0" w:rsidRDefault="008769B0" w:rsidP="008769B0">
      <w:pPr>
        <w:pStyle w:val="ListParagraph"/>
        <w:spacing w:after="0"/>
        <w:rPr>
          <w:b/>
        </w:rPr>
      </w:pPr>
    </w:p>
    <w:p w:rsidR="00614224" w:rsidRDefault="00762712" w:rsidP="00762712">
      <w:pPr>
        <w:pStyle w:val="Heading1"/>
        <w:numPr>
          <w:ilvl w:val="0"/>
          <w:numId w:val="1"/>
        </w:numPr>
        <w:rPr>
          <w:lang w:val="da-DK"/>
        </w:rPr>
      </w:pPr>
      <w:bookmarkStart w:id="1" w:name="_Ref296503098"/>
      <w:r>
        <w:rPr>
          <w:lang w:val="da-DK"/>
        </w:rPr>
        <w:t>Introduction</w:t>
      </w:r>
      <w:bookmarkEnd w:id="0"/>
      <w:bookmarkEnd w:id="1"/>
    </w:p>
    <w:p w:rsidR="00F0086C" w:rsidRDefault="00F0086C" w:rsidP="007C51CB">
      <w:r>
        <w:t xml:space="preserve">Until 2009 ICES has based its advice on the so-called precautionary approach (PA) which was developed a decade ago following the adoption of the </w:t>
      </w:r>
      <w:r w:rsidRPr="007C51CB">
        <w:t>United Nations Fish Stocks Agreement (UNFSA 1995)</w:t>
      </w:r>
      <w:r>
        <w:t>. In response to the global commitment agreed at the World Summit on Sustainable Development in 2002 the European Commission (EC) adopted a policy to rebuild fisheries to MSY (Maximum Sustainable Yield) which aims at adjust fishing mortality (F) to the level corresponding to MSY (F</w:t>
      </w:r>
      <w:r w:rsidRPr="00EF0A07">
        <w:rPr>
          <w:vertAlign w:val="subscript"/>
        </w:rPr>
        <w:t>msy</w:t>
      </w:r>
      <w:r>
        <w:t>) by 2015.</w:t>
      </w:r>
      <w:r w:rsidR="00820760">
        <w:t xml:space="preserve"> </w:t>
      </w:r>
    </w:p>
    <w:p w:rsidR="00820760" w:rsidRDefault="00820760" w:rsidP="007C51CB">
      <w:r>
        <w:t xml:space="preserve">In absence of management plans the advice provided by the precautionary approach framework called for a swift restoration of biomass (one year if possible) that often translated into </w:t>
      </w:r>
      <w:r w:rsidRPr="00820760">
        <w:t>draconian management measures if followed to the letter.</w:t>
      </w:r>
      <w:r w:rsidR="00925E51">
        <w:t xml:space="preserve"> There is also an issue assoc</w:t>
      </w:r>
      <w:r w:rsidR="00872712">
        <w:t>iated with</w:t>
      </w:r>
      <w:r w:rsidR="00925E51">
        <w:t xml:space="preserve"> </w:t>
      </w:r>
      <w:r w:rsidR="00925E51" w:rsidRPr="00925E51">
        <w:t>susceptible</w:t>
      </w:r>
      <w:r w:rsidR="00925E51">
        <w:t xml:space="preserve"> changes in advice</w:t>
      </w:r>
      <w:r w:rsidR="00872712">
        <w:t xml:space="preserve"> inherently attached to the uncertainty in recruitment and stock size in the proximities of biomass reference points.</w:t>
      </w:r>
    </w:p>
    <w:p w:rsidR="00FF2832" w:rsidRDefault="00FF2832" w:rsidP="007C51CB">
      <w:proofErr w:type="gramStart"/>
      <w:r>
        <w:t>ICES encourages</w:t>
      </w:r>
      <w:proofErr w:type="gramEnd"/>
      <w:r>
        <w:t xml:space="preserve"> the development of management plans that conform to the precautionary principle but it has proven difficult to evaluate their performance and in some cases the relevant management authorities have not agreed </w:t>
      </w:r>
      <w:r w:rsidR="000C2754">
        <w:t>therein</w:t>
      </w:r>
      <w:r w:rsidR="002068E9">
        <w:t>.</w:t>
      </w:r>
    </w:p>
    <w:p w:rsidR="00EF0A07" w:rsidRDefault="0076256E" w:rsidP="007C51CB">
      <w:r>
        <w:t xml:space="preserve">Due to the limitations discussed above ICES convened a workshop on the framework for advice including participants from the science and management community. At the 2009 ICES Advisory Committee meeting the results of the workshop were presented and it was agreed to substitute the PA </w:t>
      </w:r>
      <w:r w:rsidR="00EA0FC0">
        <w:t>framework with</w:t>
      </w:r>
      <w:r w:rsidR="00170D0E">
        <w:t xml:space="preserve"> the new MSY framework for management advice.</w:t>
      </w:r>
      <w:r w:rsidR="00155ECF">
        <w:t xml:space="preserve"> The MSY concept conforms however with the PA approach but instead of focusing on avoiding impaired recruitment the advice will aim at a desired outcome, i.e.,  a high sustainable long term yield (MSY)</w:t>
      </w:r>
      <w:r w:rsidR="00EF0A07">
        <w:t>. The new framework uses both fishing mortality and biomass reference points (F</w:t>
      </w:r>
      <w:r w:rsidR="00EF0A07" w:rsidRPr="00EF0A07">
        <w:rPr>
          <w:vertAlign w:val="subscript"/>
        </w:rPr>
        <w:t xml:space="preserve">msy </w:t>
      </w:r>
      <w:r w:rsidR="0015255F">
        <w:t>and MSYB</w:t>
      </w:r>
      <w:r w:rsidR="00EF0A07" w:rsidRPr="00EF0A07">
        <w:rPr>
          <w:vertAlign w:val="subscript"/>
        </w:rPr>
        <w:t>trigger</w:t>
      </w:r>
      <w:r w:rsidR="00EF0A07" w:rsidRPr="00EF0A07">
        <w:t>)</w:t>
      </w:r>
      <w:r w:rsidR="00EF0A07">
        <w:t>. F</w:t>
      </w:r>
      <w:r w:rsidR="00EF0A07" w:rsidRPr="00EF0A07">
        <w:rPr>
          <w:vertAlign w:val="subscript"/>
        </w:rPr>
        <w:t>msy</w:t>
      </w:r>
      <w:r w:rsidR="00EF0A07">
        <w:t xml:space="preserve"> is the fishing mortality that in the long-term – everything else being equal – will maximize long term average yield. </w:t>
      </w:r>
      <w:r w:rsidR="0015255F">
        <w:t>MSYB</w:t>
      </w:r>
      <w:r w:rsidR="00EF0A07" w:rsidRPr="00EF0A07">
        <w:rPr>
          <w:vertAlign w:val="subscript"/>
        </w:rPr>
        <w:t>trigger</w:t>
      </w:r>
      <w:r w:rsidR="00EF0A07">
        <w:t xml:space="preserve"> is a biomass reference point that triggers a cautious response to maintain a stock within a desirable stock size range, i.e., fluctuating around a notional value of </w:t>
      </w:r>
      <w:r w:rsidR="00BB521C">
        <w:t>B</w:t>
      </w:r>
      <w:r w:rsidR="00BB521C" w:rsidRPr="00EF0A07">
        <w:rPr>
          <w:vertAlign w:val="subscript"/>
        </w:rPr>
        <w:t>MSY</w:t>
      </w:r>
      <w:r w:rsidR="00BB521C" w:rsidRPr="00BB521C">
        <w:t xml:space="preserve"> and</w:t>
      </w:r>
      <w:r w:rsidR="0015255F" w:rsidRPr="00BB521C">
        <w:t xml:space="preserve"> </w:t>
      </w:r>
      <w:r w:rsidR="0015255F" w:rsidRPr="0015255F">
        <w:t xml:space="preserve">therefore </w:t>
      </w:r>
      <w:r w:rsidR="0015255F">
        <w:t>works as a harvest control r</w:t>
      </w:r>
      <w:r w:rsidR="0015255F" w:rsidRPr="0015255F">
        <w:t>ule</w:t>
      </w:r>
      <w:r w:rsidR="0015255F">
        <w:t xml:space="preserve"> (HCR)</w:t>
      </w:r>
      <w:r w:rsidR="00EF0A07">
        <w:t xml:space="preserve">. </w:t>
      </w:r>
      <w:r w:rsidR="00EF0A07" w:rsidRPr="00EF0A07">
        <w:t>MSYB</w:t>
      </w:r>
      <w:r w:rsidR="00EF0A07" w:rsidRPr="00EF0A07">
        <w:rPr>
          <w:vertAlign w:val="subscript"/>
        </w:rPr>
        <w:t>trigger</w:t>
      </w:r>
      <w:r w:rsidR="00EF0A07" w:rsidRPr="00EF0A07">
        <w:t xml:space="preserve"> is a biomass point which is expected with a low probability in a fully productiv</w:t>
      </w:r>
      <w:r w:rsidR="00EF0A07">
        <w:t>e stock which is fished at F</w:t>
      </w:r>
      <w:r w:rsidR="00EF0A07" w:rsidRPr="00EF0A07">
        <w:rPr>
          <w:vertAlign w:val="subscript"/>
        </w:rPr>
        <w:t>msy</w:t>
      </w:r>
      <w:r w:rsidR="0015255F">
        <w:t>.</w:t>
      </w:r>
    </w:p>
    <w:p w:rsidR="00C9439B" w:rsidRDefault="00C9439B" w:rsidP="007C51CB">
      <w:r w:rsidRPr="00C9439B">
        <w:lastRenderedPageBreak/>
        <w:t>The ICES MSY framew</w:t>
      </w:r>
      <w:r>
        <w:t xml:space="preserve">ork is depicted </w:t>
      </w:r>
      <w:r w:rsidR="007157A3">
        <w:t xml:space="preserve">in </w:t>
      </w:r>
      <w:r w:rsidR="005B2DFD">
        <w:t>Figure 1.1</w:t>
      </w:r>
      <w:r w:rsidR="009B140B">
        <w:t>.</w:t>
      </w:r>
    </w:p>
    <w:p w:rsidR="00C9439B" w:rsidRDefault="00327F06" w:rsidP="00C9439B">
      <w:pPr>
        <w:jc w:val="both"/>
        <w:rPr>
          <w:b/>
        </w:rPr>
      </w:pPr>
      <w:r w:rsidRPr="00327F06">
        <w:rPr>
          <w:noProof/>
        </w:rPr>
        <w:pict>
          <v:shapetype id="_x0000_t202" coordsize="21600,21600" o:spt="202" path="m,l,21600r21600,l21600,xe">
            <v:stroke joinstyle="miter"/>
            <v:path gradientshapeok="t" o:connecttype="rect"/>
          </v:shapetype>
          <v:shape id="_x0000_s1040" type="#_x0000_t202" style="position:absolute;left:0;text-align:left;margin-left:0;margin-top:263.65pt;width:6in;height:66.15pt;z-index:251658240" stroked="f">
            <v:textbox style="mso-fit-shape-to-text:t" inset="0,0,0,0">
              <w:txbxContent>
                <w:p w:rsidR="00C9439B" w:rsidRPr="00FE17D1" w:rsidRDefault="005B2DFD" w:rsidP="005B2DFD">
                  <w:pPr>
                    <w:pStyle w:val="Caption"/>
                  </w:pPr>
                  <w:proofErr w:type="gramStart"/>
                  <w:r>
                    <w:t xml:space="preserve">Figure </w:t>
                  </w:r>
                  <w:fldSimple w:instr=" STYLEREF 1 \s ">
                    <w:r w:rsidR="00841CE7">
                      <w:rPr>
                        <w:noProof/>
                      </w:rPr>
                      <w:t>1</w:t>
                    </w:r>
                  </w:fldSimple>
                  <w:r w:rsidR="00841CE7">
                    <w:t>.</w:t>
                  </w:r>
                  <w:proofErr w:type="gramEnd"/>
                  <w:r w:rsidR="00327F06">
                    <w:fldChar w:fldCharType="begin"/>
                  </w:r>
                  <w:r w:rsidR="00841CE7">
                    <w:instrText xml:space="preserve"> SEQ Figure \* ARABIC \s 1 </w:instrText>
                  </w:r>
                  <w:r w:rsidR="00327F06">
                    <w:fldChar w:fldCharType="separate"/>
                  </w:r>
                  <w:r w:rsidR="00841CE7">
                    <w:rPr>
                      <w:noProof/>
                    </w:rPr>
                    <w:t>1</w:t>
                  </w:r>
                  <w:r w:rsidR="00327F06">
                    <w:fldChar w:fldCharType="end"/>
                  </w:r>
                  <w:r>
                    <w:t>.</w:t>
                  </w:r>
                  <w:r w:rsidR="000B41FC">
                    <w:t xml:space="preserve"> </w:t>
                  </w:r>
                  <w:proofErr w:type="gramStart"/>
                  <w:r w:rsidR="00C9439B">
                    <w:t>ICES MSY framework.</w:t>
                  </w:r>
                  <w:proofErr w:type="gramEnd"/>
                  <w:r w:rsidR="00C9439B">
                    <w:t xml:space="preserve"> SSB is the estimated SSB in the beginning of the year to which the advice applies (advice year) (e.g. for the assessment performed in 2011 with data until 2010, the reference SSB will be the projected SSB at the beginning of 2012). </w:t>
                  </w:r>
                  <w:proofErr w:type="spellStart"/>
                  <w:r w:rsidR="00C9439B">
                    <w:t>F</w:t>
                  </w:r>
                  <w:r w:rsidR="00C9439B">
                    <w:rPr>
                      <w:vertAlign w:val="subscript"/>
                    </w:rPr>
                    <w:t>advice</w:t>
                  </w:r>
                  <w:proofErr w:type="spellEnd"/>
                  <w:r w:rsidR="00C9439B">
                    <w:t xml:space="preserve"> is the fishing mortality that is the basis for the advice.</w:t>
                  </w:r>
                </w:p>
              </w:txbxContent>
            </v:textbox>
          </v:shape>
        </w:pict>
      </w:r>
      <w:r w:rsidRPr="00327F06">
        <w:pict>
          <v:group id="_x0000_s1026" style="position:absolute;margin-left:0;margin-top:0;width:6in;height:259.15pt;z-index:251657216;mso-wrap-distance-left:0;mso-wrap-distance-right:0;mso-position-horizontal-relative:char;mso-position-vertical-relative:line" coordsize="8639,5182">
            <o:lock v:ext="edit" text="t"/>
            <v:rect id="_x0000_s1027" style="position:absolute;left:1;width:8638;height:5182;mso-wrap-style:none;v-text-anchor:middle" filled="f" stroked="f">
              <v:stroke joinstyle="round"/>
            </v:rect>
            <v:group id="_x0000_s1028" style="position:absolute;top:697;width:8162;height:4182;mso-wrap-distance-left:0;mso-wrap-distance-right:0" coordorigin=",697" coordsize="8162,4182">
              <o:lock v:ext="edit" text="t"/>
              <v:shapetype id="_x0000_t32" coordsize="21600,21600" o:spt="32" o:oned="t" path="m,l21600,21600e" filled="f">
                <v:path arrowok="t" fillok="f" o:connecttype="none"/>
                <o:lock v:ext="edit" shapetype="t"/>
              </v:shapetype>
              <v:shape id="_x0000_s1029" type="#_x0000_t32" style="position:absolute;left:928;top:4362;width:5575;height:17" o:connectortype="straight" strokeweight=".26mm">
                <v:stroke endarrow="block" joinstyle="miter"/>
              </v:shape>
              <v:shape id="_x0000_s1030" type="#_x0000_t32" style="position:absolute;left:928;top:1314;width:1;height:3045;flip:y" o:connectortype="straight" strokeweight=".26mm">
                <v:stroke endarrow="block" joinstyle="miter"/>
              </v:shape>
              <v:shape id="_x0000_s1031" type="#_x0000_t202" style="position:absolute;left:6689;top:4127;width:1473;height:752;v-text-anchor:middle" stroked="f">
                <v:fill color2="black"/>
                <v:stroke joinstyle="round"/>
                <v:textbox style="mso-rotate-with-shape:t">
                  <w:txbxContent>
                    <w:p w:rsidR="00C9439B" w:rsidRDefault="00C9439B" w:rsidP="00C9439B">
                      <w:pPr>
                        <w:rPr>
                          <w:rFonts w:cs="Calibri"/>
                          <w:b/>
                          <w:sz w:val="16"/>
                          <w:szCs w:val="16"/>
                          <w:lang w:val="en-GB" w:eastAsia="ar-SA"/>
                        </w:rPr>
                      </w:pPr>
                      <w:r>
                        <w:rPr>
                          <w:rFonts w:cs="Calibri"/>
                          <w:b/>
                          <w:lang w:val="en-GB" w:eastAsia="ar-SA"/>
                        </w:rPr>
                        <w:t xml:space="preserve">SSB </w:t>
                      </w:r>
                      <w:r>
                        <w:rPr>
                          <w:rFonts w:cs="Calibri"/>
                          <w:b/>
                          <w:sz w:val="16"/>
                          <w:szCs w:val="16"/>
                          <w:lang w:val="en-GB" w:eastAsia="ar-SA"/>
                        </w:rPr>
                        <w:t>(beginning of advice year)</w:t>
                      </w:r>
                    </w:p>
                  </w:txbxContent>
                </v:textbox>
              </v:shape>
              <v:shape id="_x0000_s1032" type="#_x0000_t202" style="position:absolute;left:6023;top:2178;width:1188;height:517;v-text-anchor:middle" stroked="f">
                <v:fill color2="black"/>
                <v:stroke joinstyle="round"/>
                <v:textbox style="mso-rotate-with-shape:t">
                  <w:txbxContent>
                    <w:p w:rsidR="00C9439B" w:rsidRDefault="00C9439B" w:rsidP="00C9439B">
                      <w:pPr>
                        <w:rPr>
                          <w:rFonts w:cs="Calibri"/>
                          <w:b/>
                          <w:vertAlign w:val="subscript"/>
                          <w:lang w:val="da-DK" w:eastAsia="ar-SA"/>
                        </w:rPr>
                      </w:pPr>
                      <w:r>
                        <w:rPr>
                          <w:rFonts w:cs="Calibri"/>
                          <w:b/>
                          <w:lang w:val="da-DK" w:eastAsia="ar-SA"/>
                        </w:rPr>
                        <w:t>F</w:t>
                      </w:r>
                      <w:r>
                        <w:rPr>
                          <w:rFonts w:cs="Calibri"/>
                          <w:b/>
                          <w:vertAlign w:val="subscript"/>
                          <w:lang w:val="da-DK" w:eastAsia="ar-SA"/>
                        </w:rPr>
                        <w:t>Advice</w:t>
                      </w:r>
                    </w:p>
                  </w:txbxContent>
                </v:textbox>
              </v:shape>
              <v:shape id="_x0000_s1033" type="#_x0000_t32" style="position:absolute;left:928;top:2352;width:1959;height:2007;flip:y" o:connectortype="straight" strokeweight=".79mm">
                <v:stroke joinstyle="miter"/>
              </v:shape>
              <v:shape id="_x0000_s1034" type="#_x0000_t32" style="position:absolute;left:2888;top:2353;width:2730;height:2" o:connectortype="straight" strokeweight=".79mm">
                <v:stroke joinstyle="miter"/>
              </v:shape>
              <v:shape id="_x0000_s1035" type="#_x0000_t32" style="position:absolute;left:2888;top:1746;width:2;height:2631" o:connectortype="straight" strokeweight=".26mm">
                <v:stroke dashstyle="longDashDotDot" joinstyle="miter"/>
              </v:shape>
              <v:shape id="_x0000_s1036" type="#_x0000_t202" style="position:absolute;left:2586;top:1030;width:1354;height:619;v-text-anchor:middle" stroked="f">
                <v:fill color2="black"/>
                <v:stroke joinstyle="round"/>
                <v:textbox style="mso-rotate-with-shape:t">
                  <w:txbxContent>
                    <w:p w:rsidR="00C9439B" w:rsidRDefault="00C9439B" w:rsidP="00C9439B">
                      <w:pPr>
                        <w:rPr>
                          <w:rFonts w:cs="Calibri"/>
                          <w:b/>
                          <w:vertAlign w:val="subscript"/>
                          <w:lang w:val="da-DK" w:eastAsia="ar-SA"/>
                        </w:rPr>
                      </w:pPr>
                      <w:r>
                        <w:rPr>
                          <w:rFonts w:cs="Calibri"/>
                          <w:b/>
                          <w:lang w:val="da-DK" w:eastAsia="ar-SA"/>
                        </w:rPr>
                        <w:t>BMSY</w:t>
                      </w:r>
                      <w:r>
                        <w:rPr>
                          <w:rFonts w:cs="Calibri"/>
                          <w:b/>
                          <w:vertAlign w:val="subscript"/>
                          <w:lang w:val="da-DK" w:eastAsia="ar-SA"/>
                        </w:rPr>
                        <w:t>trigger</w:t>
                      </w:r>
                    </w:p>
                  </w:txbxContent>
                </v:textbox>
              </v:shape>
              <v:shape id="_x0000_s1037" type="#_x0000_t32" style="position:absolute;left:927;top:2352;width:1958;height:1;flip:x y" o:connectortype="straight" strokeweight=".26mm">
                <v:stroke dashstyle="1 1" joinstyle="miter"/>
              </v:shape>
              <v:shape id="_x0000_s1038" type="#_x0000_t202" style="position:absolute;left:637;top:697;width:572;height:520;v-text-anchor:middle" stroked="f">
                <v:fill color2="black"/>
                <v:stroke joinstyle="round"/>
                <v:textbox style="mso-rotate-with-shape:t">
                  <w:txbxContent>
                    <w:p w:rsidR="00C9439B" w:rsidRDefault="00C9439B" w:rsidP="00C9439B">
                      <w:pPr>
                        <w:rPr>
                          <w:rFonts w:cs="Calibri"/>
                          <w:b/>
                          <w:lang w:val="da-DK" w:eastAsia="ar-SA"/>
                        </w:rPr>
                      </w:pPr>
                      <w:r>
                        <w:rPr>
                          <w:rFonts w:cs="Calibri"/>
                          <w:b/>
                          <w:lang w:val="da-DK" w:eastAsia="ar-SA"/>
                        </w:rPr>
                        <w:t>F</w:t>
                      </w:r>
                    </w:p>
                  </w:txbxContent>
                </v:textbox>
              </v:shape>
              <v:shape id="_x0000_s1039" type="#_x0000_t202" style="position:absolute;top:2055;width:762;height:463;v-text-anchor:middle" stroked="f">
                <v:fill color2="black"/>
                <v:stroke joinstyle="round"/>
                <v:textbox style="mso-rotate-with-shape:t">
                  <w:txbxContent>
                    <w:p w:rsidR="00C9439B" w:rsidRDefault="00C9439B" w:rsidP="00C9439B">
                      <w:pPr>
                        <w:rPr>
                          <w:rFonts w:cs="Calibri"/>
                          <w:b/>
                          <w:vertAlign w:val="subscript"/>
                          <w:lang w:val="da-DK" w:eastAsia="ar-SA"/>
                        </w:rPr>
                      </w:pPr>
                      <w:r>
                        <w:rPr>
                          <w:rFonts w:cs="Calibri"/>
                          <w:b/>
                          <w:lang w:val="da-DK" w:eastAsia="ar-SA"/>
                        </w:rPr>
                        <w:t>F</w:t>
                      </w:r>
                      <w:r>
                        <w:rPr>
                          <w:rFonts w:cs="Calibri"/>
                          <w:b/>
                          <w:vertAlign w:val="subscript"/>
                          <w:lang w:val="da-DK" w:eastAsia="ar-SA"/>
                        </w:rPr>
                        <w:t>MSY</w:t>
                      </w:r>
                    </w:p>
                  </w:txbxContent>
                </v:textbox>
              </v:shape>
            </v:group>
          </v:group>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59.5pt"/>
        </w:pict>
      </w:r>
    </w:p>
    <w:p w:rsidR="00C9439B" w:rsidRDefault="00C9439B" w:rsidP="00C9439B">
      <w:pPr>
        <w:rPr>
          <w:b/>
        </w:rPr>
      </w:pPr>
    </w:p>
    <w:p w:rsidR="00C9439B" w:rsidRDefault="00C9439B" w:rsidP="00C9439B">
      <w:pPr>
        <w:rPr>
          <w:b/>
        </w:rPr>
      </w:pPr>
    </w:p>
    <w:p w:rsidR="00C9439B" w:rsidRDefault="00C9439B" w:rsidP="00C9439B">
      <w:pPr>
        <w:rPr>
          <w:b/>
        </w:rPr>
      </w:pPr>
    </w:p>
    <w:p w:rsidR="00554424" w:rsidRDefault="00C42F21" w:rsidP="00152B5D">
      <w:r>
        <w:t>Faroe saithe is assessed through ICES at the North Western Working G</w:t>
      </w:r>
      <w:r w:rsidRPr="00152B5D">
        <w:t xml:space="preserve">roup </w:t>
      </w:r>
      <w:r>
        <w:t xml:space="preserve">(NWWG). </w:t>
      </w:r>
      <w:r w:rsidR="00152B5D" w:rsidRPr="00152B5D">
        <w:t xml:space="preserve">During discussions in the </w:t>
      </w:r>
      <w:r>
        <w:t>g</w:t>
      </w:r>
      <w:r w:rsidR="00152B5D" w:rsidRPr="00152B5D">
        <w:t xml:space="preserve">roup it </w:t>
      </w:r>
      <w:r w:rsidR="00554424">
        <w:t>was noted</w:t>
      </w:r>
      <w:r w:rsidR="00BB521C">
        <w:t xml:space="preserve"> </w:t>
      </w:r>
      <w:r w:rsidR="00152B5D" w:rsidRPr="00152B5D">
        <w:t>that identifying a single F</w:t>
      </w:r>
      <w:r w:rsidR="00152B5D" w:rsidRPr="00C42F21">
        <w:rPr>
          <w:vertAlign w:val="subscript"/>
        </w:rPr>
        <w:t>MSY</w:t>
      </w:r>
      <w:r w:rsidR="00152B5D" w:rsidRPr="00152B5D">
        <w:t xml:space="preserve"> valu</w:t>
      </w:r>
      <w:r>
        <w:t xml:space="preserve">e is almost an impossible task and thus </w:t>
      </w:r>
      <w:r w:rsidR="00152B5D" w:rsidRPr="00152B5D">
        <w:t xml:space="preserve">only </w:t>
      </w:r>
      <w:r>
        <w:t xml:space="preserve">feasible to </w:t>
      </w:r>
      <w:r w:rsidR="00152B5D" w:rsidRPr="00152B5D">
        <w:t xml:space="preserve">identify a range of fishing mortalities </w:t>
      </w:r>
      <w:r>
        <w:t>that</w:t>
      </w:r>
      <w:r w:rsidR="00152B5D" w:rsidRPr="00152B5D">
        <w:t xml:space="preserve"> would conform to the MSY concept</w:t>
      </w:r>
      <w:r w:rsidR="008A2407">
        <w:t>. As a</w:t>
      </w:r>
      <w:r w:rsidR="004418DB">
        <w:t>n</w:t>
      </w:r>
      <w:r w:rsidR="008A2407">
        <w:t xml:space="preserve"> example </w:t>
      </w:r>
      <w:r w:rsidR="005B2DFD">
        <w:t>Figure 1.2</w:t>
      </w:r>
      <w:r w:rsidR="008A2407">
        <w:t xml:space="preserve"> shows the results of traditional yield-per-recruit calculations with and without a stock-recruitment relation (SR) using the selection pattern observed since 1996</w:t>
      </w:r>
      <w:r w:rsidR="00152B5D" w:rsidRPr="00152B5D">
        <w:t xml:space="preserve">. </w:t>
      </w:r>
      <w:r w:rsidR="00554424">
        <w:t>The suggested approach to find candidates for F</w:t>
      </w:r>
      <w:r w:rsidR="00554424" w:rsidRPr="00554424">
        <w:rPr>
          <w:vertAlign w:val="subscript"/>
        </w:rPr>
        <w:t xml:space="preserve">msy </w:t>
      </w:r>
      <w:r w:rsidR="00554424">
        <w:t xml:space="preserve">is the use of management strategies evaluation </w:t>
      </w:r>
      <w:r w:rsidR="007D1C13">
        <w:t>(MSE) in a stochastic framework, i.e., taking into account sources of uncertainty.</w:t>
      </w:r>
    </w:p>
    <w:p w:rsidR="00103E51" w:rsidRDefault="000B41FC" w:rsidP="00103E51">
      <w:pPr>
        <w:keepNext/>
      </w:pPr>
      <w:r>
        <w:rPr>
          <w:noProof/>
        </w:rPr>
        <w:lastRenderedPageBreak/>
        <w:drawing>
          <wp:inline distT="0" distB="0" distL="0" distR="0">
            <wp:extent cx="4105275" cy="43148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r="4857"/>
                    <a:stretch>
                      <a:fillRect/>
                    </a:stretch>
                  </pic:blipFill>
                  <pic:spPr bwMode="auto">
                    <a:xfrm>
                      <a:off x="0" y="0"/>
                      <a:ext cx="4105275" cy="4314825"/>
                    </a:xfrm>
                    <a:prstGeom prst="rect">
                      <a:avLst/>
                    </a:prstGeom>
                    <a:noFill/>
                    <a:ln w="9525">
                      <a:noFill/>
                      <a:miter lim="800000"/>
                      <a:headEnd/>
                      <a:tailEnd/>
                    </a:ln>
                  </pic:spPr>
                </pic:pic>
              </a:graphicData>
            </a:graphic>
          </wp:inline>
        </w:drawing>
      </w:r>
    </w:p>
    <w:p w:rsidR="00103E51" w:rsidRDefault="00103E51" w:rsidP="00103E51">
      <w:pPr>
        <w:pStyle w:val="Caption"/>
      </w:pPr>
      <w:bookmarkStart w:id="2" w:name="_Ref293577342"/>
      <w:proofErr w:type="gramStart"/>
      <w:r>
        <w:t xml:space="preserve">Figure </w:t>
      </w:r>
      <w:fldSimple w:instr=" STYLEREF 1 \s ">
        <w:r w:rsidR="00841CE7">
          <w:rPr>
            <w:noProof/>
          </w:rPr>
          <w:t>1</w:t>
        </w:r>
      </w:fldSimple>
      <w:r w:rsidR="00841CE7">
        <w:t>.</w:t>
      </w:r>
      <w:proofErr w:type="gramEnd"/>
      <w:r w:rsidR="00327F06">
        <w:fldChar w:fldCharType="begin"/>
      </w:r>
      <w:r w:rsidR="00841CE7">
        <w:instrText xml:space="preserve"> SEQ Figure \* ARABIC \s 1 </w:instrText>
      </w:r>
      <w:r w:rsidR="00327F06">
        <w:fldChar w:fldCharType="separate"/>
      </w:r>
      <w:r w:rsidR="00841CE7">
        <w:rPr>
          <w:noProof/>
        </w:rPr>
        <w:t>2</w:t>
      </w:r>
      <w:r w:rsidR="00327F06">
        <w:fldChar w:fldCharType="end"/>
      </w:r>
      <w:bookmarkEnd w:id="2"/>
      <w:r>
        <w:t xml:space="preserve">. </w:t>
      </w:r>
      <w:proofErr w:type="gramStart"/>
      <w:r>
        <w:t>Faroe saithe.</w:t>
      </w:r>
      <w:proofErr w:type="gramEnd"/>
      <w:r>
        <w:t xml:space="preserve"> Expected maximum yield-per-recruit in absence of a stock-recruitment (SR) relation (upper figure) and using Ricker </w:t>
      </w:r>
      <w:r w:rsidR="003A0C6E">
        <w:t>S</w:t>
      </w:r>
      <w:r>
        <w:t>R (</w:t>
      </w:r>
      <w:proofErr w:type="spellStart"/>
      <w:r>
        <w:t>Rec</w:t>
      </w:r>
      <w:proofErr w:type="spellEnd"/>
      <w:r>
        <w:t xml:space="preserve"> ~ a*SSB*</w:t>
      </w:r>
      <w:proofErr w:type="gramStart"/>
      <w:r>
        <w:t>exp(</w:t>
      </w:r>
      <w:proofErr w:type="gramEnd"/>
      <w:r>
        <w:t>-b*SSB))(lower figure)</w:t>
      </w:r>
      <w:r w:rsidR="00A9150D">
        <w:t>. F</w:t>
      </w:r>
      <w:r w:rsidR="00A9150D" w:rsidRPr="00A9150D">
        <w:rPr>
          <w:vertAlign w:val="subscript"/>
        </w:rPr>
        <w:t>msy</w:t>
      </w:r>
      <w:r w:rsidR="00A9150D">
        <w:t>=0.44 (upper figure) and F</w:t>
      </w:r>
      <w:r w:rsidR="00A9150D" w:rsidRPr="00A9150D">
        <w:rPr>
          <w:vertAlign w:val="subscript"/>
        </w:rPr>
        <w:t>msy</w:t>
      </w:r>
      <w:r w:rsidR="00A9150D">
        <w:t>=0.72 (lower figure)</w:t>
      </w:r>
    </w:p>
    <w:p w:rsidR="00152B5D" w:rsidRPr="00152B5D" w:rsidRDefault="00152B5D" w:rsidP="00152B5D">
      <w:pPr>
        <w:spacing w:after="0" w:line="240" w:lineRule="auto"/>
      </w:pPr>
    </w:p>
    <w:p w:rsidR="00762712" w:rsidRDefault="00762712" w:rsidP="00762712">
      <w:pPr>
        <w:pStyle w:val="Heading1"/>
        <w:numPr>
          <w:ilvl w:val="0"/>
          <w:numId w:val="1"/>
        </w:numPr>
        <w:rPr>
          <w:lang w:val="da-DK"/>
        </w:rPr>
      </w:pPr>
      <w:bookmarkStart w:id="3" w:name="_Ref296503100"/>
      <w:r>
        <w:rPr>
          <w:lang w:val="da-DK"/>
        </w:rPr>
        <w:t>Methods</w:t>
      </w:r>
      <w:bookmarkEnd w:id="3"/>
    </w:p>
    <w:p w:rsidR="007D1C13" w:rsidRPr="007D1C13" w:rsidRDefault="007D1C13" w:rsidP="007D1C13">
      <w:r w:rsidRPr="007D1C13">
        <w:t xml:space="preserve">In </w:t>
      </w:r>
      <w:r w:rsidR="001975A5">
        <w:t xml:space="preserve">order to estimate </w:t>
      </w:r>
      <w:proofErr w:type="spellStart"/>
      <w:r w:rsidR="001975A5">
        <w:t>F</w:t>
      </w:r>
      <w:r w:rsidR="001975A5" w:rsidRPr="004418DB">
        <w:rPr>
          <w:vertAlign w:val="subscript"/>
        </w:rPr>
        <w:t>msy</w:t>
      </w:r>
      <w:proofErr w:type="spellEnd"/>
      <w:r w:rsidR="001975A5">
        <w:t xml:space="preserve"> for </w:t>
      </w:r>
      <w:proofErr w:type="spellStart"/>
      <w:r w:rsidRPr="007D1C13">
        <w:t>faroe</w:t>
      </w:r>
      <w:proofErr w:type="spellEnd"/>
      <w:r w:rsidRPr="007D1C13">
        <w:t xml:space="preserve"> saithe a Management Strategy Evaluation (MSE) is performed using a harvest control rule </w:t>
      </w:r>
      <w:r w:rsidR="001975A5">
        <w:t xml:space="preserve">(HCR) </w:t>
      </w:r>
      <w:r w:rsidRPr="007D1C13">
        <w:t>in the FLR environment</w:t>
      </w:r>
      <w:r w:rsidR="001975A5">
        <w:t xml:space="preserve"> (Fisheries Library in R</w:t>
      </w:r>
      <w:r w:rsidR="004F5688">
        <w:t xml:space="preserve">, </w:t>
      </w:r>
      <w:hyperlink r:id="rId9" w:history="1">
        <w:r w:rsidR="004F5688">
          <w:rPr>
            <w:rStyle w:val="Hyperlink"/>
          </w:rPr>
          <w:t>http://wiki.flr-project.org/</w:t>
        </w:r>
      </w:hyperlink>
      <w:r w:rsidR="001975A5">
        <w:t>)</w:t>
      </w:r>
    </w:p>
    <w:p w:rsidR="007D1C13" w:rsidRPr="007D1C13" w:rsidRDefault="007D1C13" w:rsidP="001975A5">
      <w:pPr>
        <w:spacing w:after="0"/>
      </w:pPr>
      <w:r w:rsidRPr="007D1C13">
        <w:t>The MSE approach requires mathematical representations of two systems: a ‘true’ system and an ‘observed’ one. The ‘true’ system is represented by the operating model (OM) that simulates the real world. In contrast, the ‘observed’ system represents the conventional management procedure (MP), from the data collection through stock assessment to the management implementation. The present MSE evaluation</w:t>
      </w:r>
      <w:r w:rsidR="001975A5">
        <w:t xml:space="preserve"> </w:t>
      </w:r>
      <w:r w:rsidRPr="007D1C13">
        <w:t xml:space="preserve">uses the </w:t>
      </w:r>
      <w:r w:rsidR="00A11E68">
        <w:t>input data from the North Western Working Group sto</w:t>
      </w:r>
      <w:r w:rsidRPr="007D1C13">
        <w:t>ck assessment as the basis for the Operating Model and makes assumptions about the selection pattern of the fishing fleet and its dynamics.</w:t>
      </w:r>
    </w:p>
    <w:p w:rsidR="00357AE9" w:rsidRDefault="007D1C13" w:rsidP="001975A5">
      <w:pPr>
        <w:spacing w:after="0"/>
      </w:pPr>
      <w:r w:rsidRPr="007D1C13">
        <w:t xml:space="preserve">The model comprises a single stock </w:t>
      </w:r>
      <w:r w:rsidR="00B62C50">
        <w:t xml:space="preserve">(faroe saithe) </w:t>
      </w:r>
      <w:r w:rsidRPr="007D1C13">
        <w:t xml:space="preserve">that is fished by a single fleet. It implements a harvest control rule through a management procedure that explicitly models the stock assessment process and time lag </w:t>
      </w:r>
      <w:r w:rsidR="00B62C50">
        <w:t xml:space="preserve">(2 </w:t>
      </w:r>
      <w:r w:rsidR="00B62C50">
        <w:lastRenderedPageBreak/>
        <w:t xml:space="preserve">years) </w:t>
      </w:r>
      <w:r w:rsidRPr="007D1C13">
        <w:t>in implementing the management advice (delay between the gathering of data and making a management decision, i.e. set</w:t>
      </w:r>
      <w:r w:rsidR="00B62C50">
        <w:t>ting the current fishing effort)</w:t>
      </w:r>
      <w:r w:rsidR="00B62C50" w:rsidRPr="007D1C13">
        <w:t xml:space="preserve"> which explicitly addresses</w:t>
      </w:r>
      <w:r w:rsidRPr="007D1C13">
        <w:t xml:space="preserve"> uncer</w:t>
      </w:r>
      <w:r w:rsidR="001975A5">
        <w:t>tainty in recent parameter esti</w:t>
      </w:r>
      <w:r w:rsidR="00357AE9">
        <w:t>mates.</w:t>
      </w:r>
    </w:p>
    <w:p w:rsidR="00357AE9" w:rsidRDefault="007D1C13" w:rsidP="001975A5">
      <w:pPr>
        <w:spacing w:after="0"/>
      </w:pPr>
      <w:r w:rsidRPr="007D1C13">
        <w:t xml:space="preserve">The stock recruitment relation used is the Hockey-stick or segmented regression </w:t>
      </w:r>
      <w:r w:rsidR="00783801">
        <w:t>with the breaking point estimated in addition to</w:t>
      </w:r>
      <w:r w:rsidRPr="007D1C13">
        <w:t xml:space="preserve"> random noise on top of it reflecting the high variability in historical </w:t>
      </w:r>
      <w:r w:rsidR="00357AE9">
        <w:t>recruitment estimates (CV=0.5).</w:t>
      </w:r>
    </w:p>
    <w:p w:rsidR="001C4C7C" w:rsidRDefault="001C4C7C" w:rsidP="001975A5">
      <w:pPr>
        <w:spacing w:after="0"/>
      </w:pPr>
    </w:p>
    <w:p w:rsidR="005B2DFD" w:rsidRDefault="000B41FC" w:rsidP="005B2DFD">
      <w:pPr>
        <w:keepNext/>
        <w:spacing w:after="0"/>
      </w:pPr>
      <w:r>
        <w:rPr>
          <w:noProof/>
        </w:rPr>
        <w:drawing>
          <wp:inline distT="0" distB="0" distL="0" distR="0">
            <wp:extent cx="5086350" cy="34004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l="3299" t="3385" r="3993" b="3646"/>
                    <a:stretch>
                      <a:fillRect/>
                    </a:stretch>
                  </pic:blipFill>
                  <pic:spPr bwMode="auto">
                    <a:xfrm>
                      <a:off x="0" y="0"/>
                      <a:ext cx="5086350" cy="3400425"/>
                    </a:xfrm>
                    <a:prstGeom prst="rect">
                      <a:avLst/>
                    </a:prstGeom>
                    <a:noFill/>
                    <a:ln w="9525">
                      <a:noFill/>
                      <a:miter lim="800000"/>
                      <a:headEnd/>
                      <a:tailEnd/>
                    </a:ln>
                  </pic:spPr>
                </pic:pic>
              </a:graphicData>
            </a:graphic>
          </wp:inline>
        </w:drawing>
      </w:r>
    </w:p>
    <w:p w:rsidR="001C4C7C" w:rsidRDefault="005B2DFD" w:rsidP="005B2DFD">
      <w:pPr>
        <w:pStyle w:val="Caption"/>
      </w:pPr>
      <w:proofErr w:type="gramStart"/>
      <w:r>
        <w:t xml:space="preserve">Figure </w:t>
      </w:r>
      <w:fldSimple w:instr=" STYLEREF 1 \s ">
        <w:r w:rsidR="00841CE7">
          <w:rPr>
            <w:noProof/>
          </w:rPr>
          <w:t>2</w:t>
        </w:r>
      </w:fldSimple>
      <w:r w:rsidR="00841CE7">
        <w:t>.</w:t>
      </w:r>
      <w:proofErr w:type="gramEnd"/>
      <w:r w:rsidR="00327F06">
        <w:fldChar w:fldCharType="begin"/>
      </w:r>
      <w:r w:rsidR="00841CE7">
        <w:instrText xml:space="preserve"> SEQ Figure \* ARABIC \s 1 </w:instrText>
      </w:r>
      <w:r w:rsidR="00327F06">
        <w:fldChar w:fldCharType="separate"/>
      </w:r>
      <w:r w:rsidR="00841CE7">
        <w:rPr>
          <w:noProof/>
        </w:rPr>
        <w:t>1</w:t>
      </w:r>
      <w:r w:rsidR="00327F06">
        <w:fldChar w:fldCharType="end"/>
      </w:r>
      <w:r>
        <w:t xml:space="preserve">. </w:t>
      </w:r>
      <w:proofErr w:type="gramStart"/>
      <w:r w:rsidR="00964F55">
        <w:t>Faroe saithe.</w:t>
      </w:r>
      <w:proofErr w:type="gramEnd"/>
      <w:r w:rsidR="00964F55">
        <w:t xml:space="preserve"> </w:t>
      </w:r>
      <w:proofErr w:type="gramStart"/>
      <w:r>
        <w:t>Relation between spawning stock biomass (SBB) and numbers of 3-year old saithe entering the stock.</w:t>
      </w:r>
      <w:proofErr w:type="gramEnd"/>
      <w:r>
        <w:t xml:space="preserve"> Numbers represent the </w:t>
      </w:r>
      <w:proofErr w:type="spellStart"/>
      <w:r>
        <w:t>yearclass</w:t>
      </w:r>
      <w:proofErr w:type="spellEnd"/>
      <w:r>
        <w:t xml:space="preserve"> and the red line the optimal fit of Hockey-stick function with the estimated breaking point </w:t>
      </w:r>
      <w:proofErr w:type="spellStart"/>
      <w:r>
        <w:t>SSBcut</w:t>
      </w:r>
      <w:proofErr w:type="spellEnd"/>
      <w:r>
        <w:t xml:space="preserve">=55 </w:t>
      </w:r>
      <w:proofErr w:type="spellStart"/>
      <w:r>
        <w:t>kt</w:t>
      </w:r>
      <w:proofErr w:type="spellEnd"/>
      <w:r w:rsidR="00CF73EA">
        <w:t xml:space="preserve"> (red point)</w:t>
      </w:r>
    </w:p>
    <w:p w:rsidR="001C4C7C" w:rsidRDefault="001C4C7C" w:rsidP="001975A5">
      <w:pPr>
        <w:spacing w:after="0"/>
      </w:pPr>
    </w:p>
    <w:p w:rsidR="000B41FC" w:rsidRDefault="007D1C13" w:rsidP="001975A5">
      <w:pPr>
        <w:spacing w:after="0"/>
      </w:pPr>
      <w:r w:rsidRPr="007D1C13">
        <w:t>Fishing mortality</w:t>
      </w:r>
      <w:r w:rsidR="00E109B6">
        <w:t xml:space="preserve"> </w:t>
      </w:r>
      <w:r w:rsidR="000B41FC">
        <w:t>(F)</w:t>
      </w:r>
      <w:r w:rsidRPr="007D1C13">
        <w:t xml:space="preserve"> is estimated </w:t>
      </w:r>
      <w:r w:rsidR="00103751">
        <w:t xml:space="preserve">as the product of fishing </w:t>
      </w:r>
      <w:r w:rsidRPr="007D1C13">
        <w:t>effort, catchability (</w:t>
      </w:r>
      <w:r w:rsidR="000B41FC">
        <w:t>q</w:t>
      </w:r>
      <w:r w:rsidR="00E109B6">
        <w:t>=1</w:t>
      </w:r>
      <w:r w:rsidRPr="007D1C13">
        <w:t xml:space="preserve">) </w:t>
      </w:r>
      <w:r w:rsidR="000B41FC" w:rsidRPr="007D1C13">
        <w:t>and selection</w:t>
      </w:r>
      <w:r w:rsidRPr="007D1C13">
        <w:t xml:space="preserve"> </w:t>
      </w:r>
      <w:proofErr w:type="gramStart"/>
      <w:r w:rsidRPr="007D1C13">
        <w:t>pattern</w:t>
      </w:r>
      <w:r w:rsidR="000B41FC">
        <w:t>(</w:t>
      </w:r>
      <w:proofErr w:type="spellStart"/>
      <w:proofErr w:type="gramEnd"/>
      <w:r w:rsidR="000B41FC">
        <w:t>sel</w:t>
      </w:r>
      <w:proofErr w:type="spellEnd"/>
      <w:r w:rsidR="000B41FC">
        <w:t>) (Eq. 2.1</w:t>
      </w:r>
      <w:r w:rsidRPr="007D1C13">
        <w:t>.</w:t>
      </w:r>
      <w:r w:rsidR="000B41FC">
        <w:t>)</w:t>
      </w:r>
    </w:p>
    <w:p w:rsidR="000B41FC" w:rsidRDefault="000B41FC" w:rsidP="001975A5">
      <w:pPr>
        <w:spacing w:after="0"/>
      </w:pPr>
    </w:p>
    <w:p w:rsidR="000B41FC" w:rsidRDefault="000B41FC" w:rsidP="000B41FC">
      <w:pPr>
        <w:pStyle w:val="Caption"/>
        <w:jc w:val="center"/>
      </w:pPr>
      <m:oMath>
        <m:r>
          <m:rPr>
            <m:sty m:val="b"/>
          </m:rPr>
          <w:rPr>
            <w:rFonts w:ascii="Cambria Math" w:hAnsi="Cambria Math"/>
            <w:sz w:val="22"/>
            <w:szCs w:val="22"/>
          </w:rPr>
          <m:t>F=effort*q*sel</m:t>
        </m:r>
      </m:oMath>
      <w:r>
        <w:tab/>
      </w:r>
      <w:proofErr w:type="gramStart"/>
      <w:r>
        <w:t>(</w:t>
      </w:r>
      <w:proofErr w:type="spellStart"/>
      <w:r>
        <w:t>Eq</w:t>
      </w:r>
      <w:proofErr w:type="spellEnd"/>
      <w:r>
        <w:t xml:space="preserve"> </w:t>
      </w:r>
      <w:fldSimple w:instr=" STYLEREF 1 \s ">
        <w:r>
          <w:rPr>
            <w:noProof/>
          </w:rPr>
          <w:t>2</w:t>
        </w:r>
      </w:fldSimple>
      <w:r>
        <w:t>.</w:t>
      </w:r>
      <w:proofErr w:type="gramEnd"/>
      <w:r w:rsidR="00327F06">
        <w:fldChar w:fldCharType="begin"/>
      </w:r>
      <w:r>
        <w:instrText xml:space="preserve"> SEQ Eq \* ARABIC \s 1 </w:instrText>
      </w:r>
      <w:r w:rsidR="00327F06">
        <w:fldChar w:fldCharType="separate"/>
      </w:r>
      <w:r>
        <w:rPr>
          <w:noProof/>
        </w:rPr>
        <w:t>1</w:t>
      </w:r>
      <w:r w:rsidR="00327F06">
        <w:fldChar w:fldCharType="end"/>
      </w:r>
      <w:r>
        <w:t>)</w:t>
      </w:r>
    </w:p>
    <w:p w:rsidR="00090588" w:rsidRDefault="007D1C13" w:rsidP="001975A5">
      <w:pPr>
        <w:spacing w:after="0"/>
      </w:pPr>
      <w:r w:rsidRPr="007D1C13">
        <w:t xml:space="preserve">The observed selection pattern since 1996 is used in the simulations which correspond </w:t>
      </w:r>
      <w:r w:rsidR="000B41FC">
        <w:t>to</w:t>
      </w:r>
      <w:r w:rsidR="00147EC2">
        <w:t xml:space="preserve"> the introduction</w:t>
      </w:r>
      <w:r w:rsidRPr="007D1C13">
        <w:t xml:space="preserve"> of the fishing days quota i</w:t>
      </w:r>
      <w:r w:rsidR="004A0BDC">
        <w:t>n the Faroese management system (Figure 2.2.)</w:t>
      </w:r>
      <w:r w:rsidRPr="007D1C13">
        <w:t xml:space="preserve">  </w:t>
      </w:r>
    </w:p>
    <w:p w:rsidR="00090588" w:rsidRDefault="00090588" w:rsidP="001975A5">
      <w:pPr>
        <w:spacing w:after="0"/>
      </w:pPr>
    </w:p>
    <w:p w:rsidR="00090588" w:rsidRDefault="00090588" w:rsidP="00090588">
      <w:pPr>
        <w:keepNext/>
        <w:spacing w:after="0"/>
      </w:pPr>
      <w:r>
        <w:rPr>
          <w:noProof/>
        </w:rPr>
        <w:lastRenderedPageBreak/>
        <w:drawing>
          <wp:inline distT="0" distB="0" distL="0" distR="0">
            <wp:extent cx="5019675" cy="3305175"/>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l="3819" t="4167" r="4687" b="5469"/>
                    <a:stretch>
                      <a:fillRect/>
                    </a:stretch>
                  </pic:blipFill>
                  <pic:spPr bwMode="auto">
                    <a:xfrm>
                      <a:off x="0" y="0"/>
                      <a:ext cx="5019675" cy="3305175"/>
                    </a:xfrm>
                    <a:prstGeom prst="rect">
                      <a:avLst/>
                    </a:prstGeom>
                    <a:noFill/>
                    <a:ln w="9525">
                      <a:noFill/>
                      <a:miter lim="800000"/>
                      <a:headEnd/>
                      <a:tailEnd/>
                    </a:ln>
                  </pic:spPr>
                </pic:pic>
              </a:graphicData>
            </a:graphic>
          </wp:inline>
        </w:drawing>
      </w:r>
    </w:p>
    <w:p w:rsidR="00090588" w:rsidRDefault="00090588" w:rsidP="00090588">
      <w:pPr>
        <w:pStyle w:val="Caption"/>
      </w:pPr>
      <w:proofErr w:type="gramStart"/>
      <w:r>
        <w:t xml:space="preserve">Figure </w:t>
      </w:r>
      <w:fldSimple w:instr=" STYLEREF 1 \s ">
        <w:r w:rsidR="00841CE7">
          <w:rPr>
            <w:noProof/>
          </w:rPr>
          <w:t>2</w:t>
        </w:r>
      </w:fldSimple>
      <w:r w:rsidR="00841CE7">
        <w:t>.</w:t>
      </w:r>
      <w:proofErr w:type="gramEnd"/>
      <w:r w:rsidR="00327F06">
        <w:fldChar w:fldCharType="begin"/>
      </w:r>
      <w:r w:rsidR="00841CE7">
        <w:instrText xml:space="preserve"> SEQ Figure \* ARABIC \s 1 </w:instrText>
      </w:r>
      <w:r w:rsidR="00327F06">
        <w:fldChar w:fldCharType="separate"/>
      </w:r>
      <w:r w:rsidR="00841CE7">
        <w:rPr>
          <w:noProof/>
        </w:rPr>
        <w:t>2</w:t>
      </w:r>
      <w:r w:rsidR="00327F06">
        <w:fldChar w:fldCharType="end"/>
      </w:r>
      <w:r>
        <w:t xml:space="preserve">. </w:t>
      </w:r>
      <w:proofErr w:type="gramStart"/>
      <w:r w:rsidR="00964F55">
        <w:t>Faroe saithe.</w:t>
      </w:r>
      <w:proofErr w:type="gramEnd"/>
      <w:r w:rsidR="00964F55">
        <w:t xml:space="preserve"> </w:t>
      </w:r>
      <w:proofErr w:type="gramStart"/>
      <w:r>
        <w:t>Selection pattern for three different periods since 1961.</w:t>
      </w:r>
      <w:proofErr w:type="gramEnd"/>
      <w:r>
        <w:t xml:space="preserve"> </w:t>
      </w:r>
      <w:r w:rsidR="00147EC2">
        <w:t>Selectivity corresponding to the introduction of the fishing days system (1996-</w:t>
      </w:r>
      <w:proofErr w:type="gramStart"/>
      <w:r w:rsidR="00147EC2">
        <w:t>2009 )</w:t>
      </w:r>
      <w:proofErr w:type="gramEnd"/>
      <w:r w:rsidR="00147EC2">
        <w:t xml:space="preserve"> in the simulations (green line)</w:t>
      </w:r>
    </w:p>
    <w:p w:rsidR="004A0BDC" w:rsidRDefault="007D1C13" w:rsidP="001975A5">
      <w:pPr>
        <w:spacing w:after="0"/>
      </w:pPr>
      <w:r w:rsidRPr="007D1C13">
        <w:t xml:space="preserve">Maturity-at-age is </w:t>
      </w:r>
      <w:r w:rsidR="001975A5">
        <w:t>fixed while stochasticity is in</w:t>
      </w:r>
      <w:r w:rsidRPr="007D1C13">
        <w:t xml:space="preserve">cluded in weights-at-age with a CV=0.18 </w:t>
      </w:r>
      <w:r w:rsidR="004A0BDC">
        <w:t xml:space="preserve">(coefficient of variation) </w:t>
      </w:r>
      <w:r w:rsidRPr="007D1C13">
        <w:t xml:space="preserve">applied to </w:t>
      </w:r>
      <w:r w:rsidR="001975A5">
        <w:t>all age groups to somehow repli</w:t>
      </w:r>
      <w:r w:rsidRPr="007D1C13">
        <w:t>cate the observed fluctuations pattern</w:t>
      </w:r>
      <w:r w:rsidR="004A0BDC">
        <w:t xml:space="preserve"> (Figure 2.3.)</w:t>
      </w:r>
    </w:p>
    <w:p w:rsidR="004A0BDC" w:rsidRDefault="004A0BDC" w:rsidP="001975A5">
      <w:pPr>
        <w:spacing w:after="0"/>
      </w:pPr>
    </w:p>
    <w:p w:rsidR="000242AE" w:rsidRDefault="000242AE" w:rsidP="000242AE">
      <w:pPr>
        <w:keepNext/>
        <w:spacing w:after="0"/>
      </w:pPr>
      <w:r>
        <w:rPr>
          <w:noProof/>
        </w:rPr>
        <w:lastRenderedPageBreak/>
        <w:drawing>
          <wp:inline distT="0" distB="0" distL="0" distR="0">
            <wp:extent cx="6286500" cy="33242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l="752" t="2895" b="5263"/>
                    <a:stretch>
                      <a:fillRect/>
                    </a:stretch>
                  </pic:blipFill>
                  <pic:spPr bwMode="auto">
                    <a:xfrm>
                      <a:off x="0" y="0"/>
                      <a:ext cx="6286500" cy="3324225"/>
                    </a:xfrm>
                    <a:prstGeom prst="rect">
                      <a:avLst/>
                    </a:prstGeom>
                    <a:noFill/>
                    <a:ln w="9525">
                      <a:noFill/>
                      <a:miter lim="800000"/>
                      <a:headEnd/>
                      <a:tailEnd/>
                    </a:ln>
                  </pic:spPr>
                </pic:pic>
              </a:graphicData>
            </a:graphic>
          </wp:inline>
        </w:drawing>
      </w:r>
    </w:p>
    <w:p w:rsidR="000242AE" w:rsidRDefault="000242AE" w:rsidP="000242AE">
      <w:pPr>
        <w:pStyle w:val="Caption"/>
      </w:pPr>
      <w:proofErr w:type="gramStart"/>
      <w:r>
        <w:t xml:space="preserve">Figure </w:t>
      </w:r>
      <w:fldSimple w:instr=" STYLEREF 1 \s ">
        <w:r w:rsidR="00841CE7">
          <w:rPr>
            <w:noProof/>
          </w:rPr>
          <w:t>2</w:t>
        </w:r>
      </w:fldSimple>
      <w:r w:rsidR="00841CE7">
        <w:t>.</w:t>
      </w:r>
      <w:proofErr w:type="gramEnd"/>
      <w:r w:rsidR="00327F06">
        <w:fldChar w:fldCharType="begin"/>
      </w:r>
      <w:r w:rsidR="00841CE7">
        <w:instrText xml:space="preserve"> SEQ Figure \* ARABIC \s 1 </w:instrText>
      </w:r>
      <w:r w:rsidR="00327F06">
        <w:fldChar w:fldCharType="separate"/>
      </w:r>
      <w:r w:rsidR="00841CE7">
        <w:rPr>
          <w:noProof/>
        </w:rPr>
        <w:t>3</w:t>
      </w:r>
      <w:r w:rsidR="00327F06">
        <w:fldChar w:fldCharType="end"/>
      </w:r>
      <w:r>
        <w:t xml:space="preserve">. </w:t>
      </w:r>
      <w:proofErr w:type="gramStart"/>
      <w:r w:rsidR="00964F55">
        <w:t>Faroe saithe.</w:t>
      </w:r>
      <w:proofErr w:type="gramEnd"/>
      <w:r w:rsidR="00964F55">
        <w:t xml:space="preserve"> Maturity- and weight-at-age used in the simulations (vertical lines represent variability associated with the estimates)</w:t>
      </w:r>
    </w:p>
    <w:p w:rsidR="004E6B6C" w:rsidRDefault="007D1C13" w:rsidP="001975A5">
      <w:pPr>
        <w:spacing w:after="0"/>
      </w:pPr>
      <w:r w:rsidRPr="007D1C13">
        <w:t xml:space="preserve"> The data sampling of catches and tuning fleets is carried out</w:t>
      </w:r>
      <w:r w:rsidR="00F8429B">
        <w:t xml:space="preserve"> by multiplying by random noise, i.e., age-disaggregated catches and survey indices </w:t>
      </w:r>
      <w:r w:rsidR="004E6B6C">
        <w:t>are not exact fluctuating around some mean value (Figure 2.4.)</w:t>
      </w:r>
    </w:p>
    <w:p w:rsidR="00E109B6" w:rsidRDefault="00E109B6" w:rsidP="00E109B6">
      <w:pPr>
        <w:pStyle w:val="Caption"/>
      </w:pPr>
    </w:p>
    <w:p w:rsidR="00E109B6" w:rsidRDefault="00E109B6" w:rsidP="001975A5">
      <w:pPr>
        <w:spacing w:after="0"/>
      </w:pPr>
      <w:r>
        <w:rPr>
          <w:noProof/>
        </w:rPr>
        <w:drawing>
          <wp:inline distT="0" distB="0" distL="0" distR="0">
            <wp:extent cx="5257800" cy="3305175"/>
            <wp:effectExtent l="1905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l="4167" t="4427" b="5208"/>
                    <a:stretch>
                      <a:fillRect/>
                    </a:stretch>
                  </pic:blipFill>
                  <pic:spPr bwMode="auto">
                    <a:xfrm>
                      <a:off x="0" y="0"/>
                      <a:ext cx="5257800" cy="3305175"/>
                    </a:xfrm>
                    <a:prstGeom prst="rect">
                      <a:avLst/>
                    </a:prstGeom>
                    <a:noFill/>
                    <a:ln w="9525">
                      <a:noFill/>
                      <a:miter lim="800000"/>
                      <a:headEnd/>
                      <a:tailEnd/>
                    </a:ln>
                  </pic:spPr>
                </pic:pic>
              </a:graphicData>
            </a:graphic>
          </wp:inline>
        </w:drawing>
      </w:r>
    </w:p>
    <w:p w:rsidR="00E109B6" w:rsidRPr="00E109B6" w:rsidRDefault="00E109B6" w:rsidP="001975A5">
      <w:pPr>
        <w:spacing w:after="0"/>
        <w:rPr>
          <w:b/>
          <w:sz w:val="20"/>
          <w:szCs w:val="20"/>
        </w:rPr>
      </w:pPr>
      <w:proofErr w:type="gramStart"/>
      <w:r w:rsidRPr="00E109B6">
        <w:rPr>
          <w:b/>
          <w:sz w:val="20"/>
          <w:szCs w:val="20"/>
        </w:rPr>
        <w:lastRenderedPageBreak/>
        <w:t xml:space="preserve">Figure </w:t>
      </w:r>
      <w:r w:rsidR="00327F06">
        <w:rPr>
          <w:b/>
          <w:sz w:val="20"/>
          <w:szCs w:val="20"/>
        </w:rPr>
        <w:fldChar w:fldCharType="begin"/>
      </w:r>
      <w:r w:rsidR="00841CE7">
        <w:rPr>
          <w:b/>
          <w:sz w:val="20"/>
          <w:szCs w:val="20"/>
        </w:rPr>
        <w:instrText xml:space="preserve"> STYLEREF 1 \s </w:instrText>
      </w:r>
      <w:r w:rsidR="00327F06">
        <w:rPr>
          <w:b/>
          <w:sz w:val="20"/>
          <w:szCs w:val="20"/>
        </w:rPr>
        <w:fldChar w:fldCharType="separate"/>
      </w:r>
      <w:r w:rsidR="00841CE7">
        <w:rPr>
          <w:b/>
          <w:noProof/>
          <w:sz w:val="20"/>
          <w:szCs w:val="20"/>
        </w:rPr>
        <w:t>2</w:t>
      </w:r>
      <w:r w:rsidR="00327F06">
        <w:rPr>
          <w:b/>
          <w:sz w:val="20"/>
          <w:szCs w:val="20"/>
        </w:rPr>
        <w:fldChar w:fldCharType="end"/>
      </w:r>
      <w:r w:rsidR="00841CE7">
        <w:rPr>
          <w:b/>
          <w:sz w:val="20"/>
          <w:szCs w:val="20"/>
        </w:rPr>
        <w:t>.</w:t>
      </w:r>
      <w:proofErr w:type="gramEnd"/>
      <w:r w:rsidR="00327F06">
        <w:rPr>
          <w:b/>
          <w:sz w:val="20"/>
          <w:szCs w:val="20"/>
        </w:rPr>
        <w:fldChar w:fldCharType="begin"/>
      </w:r>
      <w:r w:rsidR="00841CE7">
        <w:rPr>
          <w:b/>
          <w:sz w:val="20"/>
          <w:szCs w:val="20"/>
        </w:rPr>
        <w:instrText xml:space="preserve"> SEQ Figure \* ARABIC \s 1 </w:instrText>
      </w:r>
      <w:r w:rsidR="00327F06">
        <w:rPr>
          <w:b/>
          <w:sz w:val="20"/>
          <w:szCs w:val="20"/>
        </w:rPr>
        <w:fldChar w:fldCharType="separate"/>
      </w:r>
      <w:r w:rsidR="00841CE7">
        <w:rPr>
          <w:b/>
          <w:noProof/>
          <w:sz w:val="20"/>
          <w:szCs w:val="20"/>
        </w:rPr>
        <w:t>4</w:t>
      </w:r>
      <w:r w:rsidR="00327F06">
        <w:rPr>
          <w:b/>
          <w:sz w:val="20"/>
          <w:szCs w:val="20"/>
        </w:rPr>
        <w:fldChar w:fldCharType="end"/>
      </w:r>
      <w:r w:rsidRPr="00E109B6">
        <w:rPr>
          <w:b/>
          <w:sz w:val="20"/>
          <w:szCs w:val="20"/>
        </w:rPr>
        <w:t xml:space="preserve">. </w:t>
      </w:r>
      <w:proofErr w:type="gramStart"/>
      <w:r w:rsidRPr="00E109B6">
        <w:rPr>
          <w:b/>
          <w:sz w:val="20"/>
          <w:szCs w:val="20"/>
        </w:rPr>
        <w:t>Faroe saithe.</w:t>
      </w:r>
      <w:proofErr w:type="gramEnd"/>
      <w:r w:rsidRPr="00E109B6">
        <w:rPr>
          <w:b/>
          <w:sz w:val="20"/>
          <w:szCs w:val="20"/>
        </w:rPr>
        <w:t xml:space="preserve"> </w:t>
      </w:r>
      <w:proofErr w:type="gramStart"/>
      <w:r w:rsidRPr="00E109B6">
        <w:rPr>
          <w:b/>
          <w:sz w:val="20"/>
          <w:szCs w:val="20"/>
        </w:rPr>
        <w:t xml:space="preserve">Variability in age-disaggregated commercial catches and </w:t>
      </w:r>
      <w:proofErr w:type="spellStart"/>
      <w:r w:rsidRPr="00E109B6">
        <w:rPr>
          <w:b/>
          <w:sz w:val="20"/>
          <w:szCs w:val="20"/>
        </w:rPr>
        <w:t>tunning</w:t>
      </w:r>
      <w:proofErr w:type="spellEnd"/>
      <w:r w:rsidRPr="00E109B6">
        <w:rPr>
          <w:b/>
          <w:sz w:val="20"/>
          <w:szCs w:val="20"/>
        </w:rPr>
        <w:t xml:space="preserve"> indices.</w:t>
      </w:r>
      <w:proofErr w:type="gramEnd"/>
      <w:r w:rsidRPr="00E109B6">
        <w:rPr>
          <w:b/>
          <w:sz w:val="20"/>
          <w:szCs w:val="20"/>
        </w:rPr>
        <w:t xml:space="preserve"> </w:t>
      </w:r>
    </w:p>
    <w:p w:rsidR="00E109B6" w:rsidRDefault="00E109B6" w:rsidP="001975A5">
      <w:pPr>
        <w:spacing w:after="0"/>
      </w:pPr>
    </w:p>
    <w:p w:rsidR="004E6B6C" w:rsidRDefault="007D1C13" w:rsidP="001975A5">
      <w:pPr>
        <w:spacing w:after="0"/>
      </w:pPr>
      <w:r w:rsidRPr="007D1C13">
        <w:t xml:space="preserve">Natural mortality </w:t>
      </w:r>
      <w:r w:rsidR="004E6B6C">
        <w:t>was fixed to M=0.2.</w:t>
      </w:r>
    </w:p>
    <w:p w:rsidR="007D1C13" w:rsidRDefault="007D1C13" w:rsidP="001975A5">
      <w:pPr>
        <w:spacing w:after="0"/>
      </w:pPr>
      <w:r w:rsidRPr="007D1C13">
        <w:t>Simulations were performed 1000 times on a 40-year forward period with the historical period being replicated in the OM.</w:t>
      </w:r>
    </w:p>
    <w:p w:rsidR="00762712" w:rsidRDefault="00762712" w:rsidP="00762712">
      <w:pPr>
        <w:pStyle w:val="Heading1"/>
        <w:numPr>
          <w:ilvl w:val="0"/>
          <w:numId w:val="1"/>
        </w:numPr>
        <w:rPr>
          <w:lang w:val="da-DK"/>
        </w:rPr>
      </w:pPr>
      <w:bookmarkStart w:id="4" w:name="_Ref296503117"/>
      <w:r>
        <w:rPr>
          <w:lang w:val="da-DK"/>
        </w:rPr>
        <w:t>Results</w:t>
      </w:r>
      <w:bookmarkEnd w:id="4"/>
    </w:p>
    <w:p w:rsidR="00A019B4" w:rsidRDefault="00A019B4" w:rsidP="00A019B4">
      <w:r w:rsidRPr="007D1C13">
        <w:t>Unlike the flat curves obtained from traditional yield-</w:t>
      </w:r>
      <w:r>
        <w:t>per-recruit calculations</w:t>
      </w:r>
      <w:r w:rsidR="008C4757">
        <w:t xml:space="preserve"> (Figure 1.2)</w:t>
      </w:r>
      <w:r>
        <w:t xml:space="preserve"> </w:t>
      </w:r>
      <w:r w:rsidR="008C4757">
        <w:t xml:space="preserve">curves from </w:t>
      </w:r>
      <w:r>
        <w:t>simula</w:t>
      </w:r>
      <w:r w:rsidRPr="007D1C13">
        <w:t xml:space="preserve">tions show a relatively well defined maximum at </w:t>
      </w:r>
      <w:proofErr w:type="spellStart"/>
      <w:r w:rsidRPr="007D1C13">
        <w:t>F</w:t>
      </w:r>
      <w:r w:rsidRPr="008C4757">
        <w:rPr>
          <w:vertAlign w:val="subscript"/>
        </w:rPr>
        <w:t>msy</w:t>
      </w:r>
      <w:proofErr w:type="spellEnd"/>
      <w:r w:rsidRPr="007D1C13">
        <w:t xml:space="preserve"> =0.28</w:t>
      </w:r>
      <w:r w:rsidR="008C4757">
        <w:t xml:space="preserve"> (</w:t>
      </w:r>
      <w:r w:rsidR="004548BC">
        <w:t>broken lines represent the 5</w:t>
      </w:r>
      <w:r w:rsidR="004548BC" w:rsidRPr="004548BC">
        <w:rPr>
          <w:vertAlign w:val="superscript"/>
        </w:rPr>
        <w:t>th</w:t>
      </w:r>
      <w:r w:rsidR="004548BC">
        <w:t xml:space="preserve"> and 95</w:t>
      </w:r>
      <w:r w:rsidR="004548BC" w:rsidRPr="004548BC">
        <w:rPr>
          <w:vertAlign w:val="superscript"/>
        </w:rPr>
        <w:t>th</w:t>
      </w:r>
      <w:r w:rsidR="004548BC">
        <w:t xml:space="preserve"> percentile of </w:t>
      </w:r>
      <w:r w:rsidR="00231868">
        <w:t xml:space="preserve">the </w:t>
      </w:r>
      <w:r w:rsidR="004548BC">
        <w:t>yield-per-recruit while and red line is the corresponding spawning-stock-biomass per-recruit</w:t>
      </w:r>
      <w:r w:rsidR="008C4757">
        <w:t>)</w:t>
      </w:r>
      <w:r w:rsidR="00231868">
        <w:t>(</w:t>
      </w:r>
      <w:r w:rsidR="0036390C">
        <w:t>Figure 3.1</w:t>
      </w:r>
      <w:r w:rsidR="00231868">
        <w:t>)</w:t>
      </w:r>
      <w:r w:rsidRPr="007D1C13">
        <w:t xml:space="preserve"> The reason for this difference is that when fishing mortality is above certain level (&gt;0.3) some of the stochastic runs will lead to spawning stock being below the break point in the stock-recruitment function so recruitment and subsequent landing s will be reduced.</w:t>
      </w:r>
      <w:r w:rsidR="00231868">
        <w:t xml:space="preserve"> The knife-edge drop</w:t>
      </w:r>
      <w:r w:rsidRPr="007D1C13">
        <w:t xml:space="preserve"> </w:t>
      </w:r>
      <w:r w:rsidR="00231868">
        <w:t xml:space="preserve">in yield is caused by the Hockey-stick </w:t>
      </w:r>
      <w:proofErr w:type="spellStart"/>
      <w:r w:rsidR="00231868">
        <w:t>ssb-rec</w:t>
      </w:r>
      <w:proofErr w:type="spellEnd"/>
      <w:r w:rsidR="00231868">
        <w:t xml:space="preserve"> used in the simulations. </w:t>
      </w:r>
      <w:r w:rsidRPr="007D1C13">
        <w:t xml:space="preserve">The breakpoint of 55 </w:t>
      </w:r>
      <w:proofErr w:type="spellStart"/>
      <w:r w:rsidRPr="007D1C13">
        <w:t>kt</w:t>
      </w:r>
      <w:proofErr w:type="spellEnd"/>
      <w:r w:rsidRPr="007D1C13">
        <w:t>. in the segmented regression or the</w:t>
      </w:r>
      <w:r>
        <w:t xml:space="preserve"> revised </w:t>
      </w:r>
      <w:proofErr w:type="spellStart"/>
      <w:r>
        <w:t>B</w:t>
      </w:r>
      <w:r w:rsidRPr="008C4757">
        <w:rPr>
          <w:vertAlign w:val="subscript"/>
        </w:rPr>
        <w:t>pa</w:t>
      </w:r>
      <w:proofErr w:type="spellEnd"/>
      <w:r>
        <w:t>=60 000 t. (see Sec</w:t>
      </w:r>
      <w:r w:rsidRPr="007D1C13">
        <w:t xml:space="preserve">tion 2. </w:t>
      </w:r>
      <w:proofErr w:type="spellStart"/>
      <w:r w:rsidRPr="007D1C13">
        <w:t>Demersal</w:t>
      </w:r>
      <w:proofErr w:type="spellEnd"/>
      <w:r w:rsidRPr="007D1C13">
        <w:t xml:space="preserve"> stocks in the Faroe Area, Subsection 2</w:t>
      </w:r>
      <w:r>
        <w:t>.1.7 Faroe saithe</w:t>
      </w:r>
      <w:r w:rsidR="008C4757">
        <w:t>, NWWG Report 2011</w:t>
      </w:r>
      <w:r>
        <w:t>) could be can</w:t>
      </w:r>
      <w:r w:rsidRPr="007D1C13">
        <w:t xml:space="preserve">didates for </w:t>
      </w:r>
      <w:proofErr w:type="spellStart"/>
      <w:r w:rsidRPr="007D1C13">
        <w:t>B</w:t>
      </w:r>
      <w:r w:rsidRPr="008C4757">
        <w:rPr>
          <w:vertAlign w:val="subscript"/>
        </w:rPr>
        <w:t>trigger</w:t>
      </w:r>
      <w:proofErr w:type="spellEnd"/>
      <w:r w:rsidRPr="007D1C13">
        <w:t xml:space="preserve"> the point at which fishing mortality should be reduced according to the MSY framework. </w:t>
      </w:r>
      <w:r w:rsidR="00231868">
        <w:t>R</w:t>
      </w:r>
      <w:r w:rsidRPr="007D1C13">
        <w:t xml:space="preserve">esults of the </w:t>
      </w:r>
      <w:r w:rsidR="00231868">
        <w:t xml:space="preserve">simulations are shown in Figure </w:t>
      </w:r>
      <w:r w:rsidR="0036390C">
        <w:t>3.2</w:t>
      </w:r>
      <w:r w:rsidR="00231868">
        <w:t xml:space="preserve"> (</w:t>
      </w:r>
      <w:r w:rsidR="00F75354">
        <w:t xml:space="preserve">solid black line represents </w:t>
      </w:r>
      <w:r w:rsidR="00231868">
        <w:t>mean</w:t>
      </w:r>
      <w:r w:rsidR="00F75354">
        <w:t>, yellow</w:t>
      </w:r>
      <w:r w:rsidR="00231868">
        <w:t xml:space="preserve"> </w:t>
      </w:r>
      <w:r w:rsidR="00F75354">
        <w:t xml:space="preserve">lines 25% and 75% percentiles and red lines </w:t>
      </w:r>
      <w:r w:rsidR="00A73998">
        <w:t xml:space="preserve">show the </w:t>
      </w:r>
      <w:r w:rsidR="00F75354">
        <w:t xml:space="preserve">5% and 95% percentiles </w:t>
      </w:r>
      <w:r w:rsidR="00231868">
        <w:t xml:space="preserve">of </w:t>
      </w:r>
      <w:r w:rsidR="00F75354">
        <w:t>stock parameters</w:t>
      </w:r>
      <w:r w:rsidR="00231868">
        <w:t>)</w:t>
      </w:r>
    </w:p>
    <w:p w:rsidR="00762A5B" w:rsidRDefault="00762A5B" w:rsidP="00A019B4">
      <w:r>
        <w:t xml:space="preserve">For </w:t>
      </w:r>
      <w:proofErr w:type="spellStart"/>
      <w:r>
        <w:t>faroe</w:t>
      </w:r>
      <w:proofErr w:type="spellEnd"/>
      <w:r>
        <w:t xml:space="preserve"> saithe the point estimate </w:t>
      </w:r>
      <w:proofErr w:type="spellStart"/>
      <w:r w:rsidRPr="007D1C13">
        <w:t>F</w:t>
      </w:r>
      <w:r w:rsidRPr="008C4757">
        <w:rPr>
          <w:vertAlign w:val="subscript"/>
        </w:rPr>
        <w:t>msy</w:t>
      </w:r>
      <w:proofErr w:type="spellEnd"/>
      <w:r w:rsidRPr="007D1C13">
        <w:t xml:space="preserve"> =0.28</w:t>
      </w:r>
      <w:r>
        <w:t xml:space="preserve"> is used by ICES as the basis for advice in 2011 but at the same time it is regarded as provisional</w:t>
      </w:r>
      <w:r w:rsidR="007374F5">
        <w:t xml:space="preserve">. </w:t>
      </w:r>
      <w:r w:rsidR="009C7365">
        <w:t>An alternative approach for stock management is the</w:t>
      </w:r>
      <w:r w:rsidR="007374F5">
        <w:t xml:space="preserve"> setting </w:t>
      </w:r>
      <w:r w:rsidR="009C7365">
        <w:t xml:space="preserve">of </w:t>
      </w:r>
      <w:r w:rsidR="007374F5">
        <w:t xml:space="preserve">a Harvest control Rule (HCR) </w:t>
      </w:r>
      <w:r w:rsidR="00B36BBB">
        <w:t xml:space="preserve">or management plans </w:t>
      </w:r>
      <w:r w:rsidR="007374F5">
        <w:t>which conform to the</w:t>
      </w:r>
      <w:r w:rsidR="009C7365">
        <w:t xml:space="preserve"> MSY frame work and is agreed upon </w:t>
      </w:r>
      <w:r w:rsidR="00B03651">
        <w:t>by</w:t>
      </w:r>
      <w:r w:rsidR="009C7365">
        <w:t xml:space="preserve"> scientists, managers and stakeholders, a</w:t>
      </w:r>
      <w:r w:rsidR="008A44A1">
        <w:t>n</w:t>
      </w:r>
      <w:r w:rsidR="00BA4AD8">
        <w:t xml:space="preserve"> initiative encouraged by ICES as an alternative to fixed F-based exploitation strategies.</w:t>
      </w:r>
    </w:p>
    <w:p w:rsidR="00F75354" w:rsidRDefault="00F75354" w:rsidP="00F75354">
      <w:pPr>
        <w:keepNext/>
      </w:pPr>
      <w:r>
        <w:rPr>
          <w:noProof/>
        </w:rPr>
        <w:lastRenderedPageBreak/>
        <w:drawing>
          <wp:inline distT="0" distB="0" distL="0" distR="0">
            <wp:extent cx="5495925" cy="408622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t="10811"/>
                    <a:stretch>
                      <a:fillRect/>
                    </a:stretch>
                  </pic:blipFill>
                  <pic:spPr bwMode="auto">
                    <a:xfrm>
                      <a:off x="0" y="0"/>
                      <a:ext cx="5495925" cy="4086225"/>
                    </a:xfrm>
                    <a:prstGeom prst="rect">
                      <a:avLst/>
                    </a:prstGeom>
                    <a:noFill/>
                    <a:ln w="9525">
                      <a:noFill/>
                      <a:miter lim="800000"/>
                      <a:headEnd/>
                      <a:tailEnd/>
                    </a:ln>
                  </pic:spPr>
                </pic:pic>
              </a:graphicData>
            </a:graphic>
          </wp:inline>
        </w:drawing>
      </w:r>
    </w:p>
    <w:p w:rsidR="00F75354" w:rsidRDefault="00F75354" w:rsidP="00F75354">
      <w:pPr>
        <w:pStyle w:val="Caption"/>
      </w:pPr>
      <w:proofErr w:type="gramStart"/>
      <w:r>
        <w:t xml:space="preserve">Figure </w:t>
      </w:r>
      <w:fldSimple w:instr=" STYLEREF 1 \s ">
        <w:r w:rsidR="00841CE7">
          <w:rPr>
            <w:noProof/>
          </w:rPr>
          <w:t>3</w:t>
        </w:r>
      </w:fldSimple>
      <w:r w:rsidR="00841CE7">
        <w:t>.</w:t>
      </w:r>
      <w:proofErr w:type="gramEnd"/>
      <w:r w:rsidR="00327F06">
        <w:fldChar w:fldCharType="begin"/>
      </w:r>
      <w:r w:rsidR="00841CE7">
        <w:instrText xml:space="preserve"> SEQ Figure \* ARABIC \s 1 </w:instrText>
      </w:r>
      <w:r w:rsidR="00327F06">
        <w:fldChar w:fldCharType="separate"/>
      </w:r>
      <w:r w:rsidR="00841CE7">
        <w:rPr>
          <w:noProof/>
        </w:rPr>
        <w:t>1</w:t>
      </w:r>
      <w:r w:rsidR="00327F06">
        <w:fldChar w:fldCharType="end"/>
      </w:r>
      <w:r>
        <w:t xml:space="preserve">. </w:t>
      </w:r>
      <w:proofErr w:type="gramStart"/>
      <w:r>
        <w:t>Faroe saithe.</w:t>
      </w:r>
      <w:proofErr w:type="gramEnd"/>
      <w:r>
        <w:t xml:space="preserve"> Yield-per-recruit (</w:t>
      </w:r>
      <w:proofErr w:type="spellStart"/>
      <w:r>
        <w:t>tonnes</w:t>
      </w:r>
      <w:proofErr w:type="spellEnd"/>
      <w:proofErr w:type="gramStart"/>
      <w:r>
        <w:t>)(</w:t>
      </w:r>
      <w:proofErr w:type="gramEnd"/>
      <w:r>
        <w:t xml:space="preserve">solid blue line) and spawning stock biomass-per-recruit (‘000 </w:t>
      </w:r>
      <w:proofErr w:type="spellStart"/>
      <w:r>
        <w:t>tonnes</w:t>
      </w:r>
      <w:proofErr w:type="spellEnd"/>
      <w:r>
        <w:t xml:space="preserve">)(solid red line) from stochastic simulations. </w:t>
      </w:r>
      <w:proofErr w:type="spellStart"/>
      <w:r>
        <w:t>F</w:t>
      </w:r>
      <w:r w:rsidRPr="00F75354">
        <w:rPr>
          <w:vertAlign w:val="subscript"/>
        </w:rPr>
        <w:t>msy</w:t>
      </w:r>
      <w:proofErr w:type="spellEnd"/>
      <w:r>
        <w:t xml:space="preserve">=0.28 </w:t>
      </w:r>
      <w:proofErr w:type="spellStart"/>
      <w:r>
        <w:t>ans</w:t>
      </w:r>
      <w:proofErr w:type="spellEnd"/>
      <w:r>
        <w:t xml:space="preserve"> </w:t>
      </w:r>
      <w:proofErr w:type="spellStart"/>
      <w:r>
        <w:t>SSB</w:t>
      </w:r>
      <w:r w:rsidRPr="00F75354">
        <w:rPr>
          <w:vertAlign w:val="subscript"/>
        </w:rPr>
        <w:t>msy</w:t>
      </w:r>
      <w:proofErr w:type="spellEnd"/>
      <w:r w:rsidRPr="00F75354">
        <w:t>=</w:t>
      </w:r>
      <w:r>
        <w:t xml:space="preserve">101 </w:t>
      </w:r>
      <w:proofErr w:type="spellStart"/>
      <w:r>
        <w:t>kt</w:t>
      </w:r>
      <w:proofErr w:type="spellEnd"/>
      <w:r>
        <w:t>. Broken blue lines show the 5% and 95% percentiles.</w:t>
      </w:r>
    </w:p>
    <w:p w:rsidR="00841CE7" w:rsidRDefault="00F75354" w:rsidP="00841CE7">
      <w:pPr>
        <w:keepNext/>
      </w:pPr>
      <w:r>
        <w:rPr>
          <w:noProof/>
        </w:rPr>
        <w:lastRenderedPageBreak/>
        <w:drawing>
          <wp:inline distT="0" distB="0" distL="0" distR="0">
            <wp:extent cx="6257925" cy="4686300"/>
            <wp:effectExtent l="1905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t="984" r="1054" b="2165"/>
                    <a:stretch>
                      <a:fillRect/>
                    </a:stretch>
                  </pic:blipFill>
                  <pic:spPr bwMode="auto">
                    <a:xfrm>
                      <a:off x="0" y="0"/>
                      <a:ext cx="6257925" cy="4686300"/>
                    </a:xfrm>
                    <a:prstGeom prst="rect">
                      <a:avLst/>
                    </a:prstGeom>
                    <a:noFill/>
                    <a:ln w="9525">
                      <a:noFill/>
                      <a:miter lim="800000"/>
                      <a:headEnd/>
                      <a:tailEnd/>
                    </a:ln>
                  </pic:spPr>
                </pic:pic>
              </a:graphicData>
            </a:graphic>
          </wp:inline>
        </w:drawing>
      </w:r>
    </w:p>
    <w:p w:rsidR="00F75354" w:rsidRPr="00F75354" w:rsidRDefault="00841CE7" w:rsidP="00841CE7">
      <w:pPr>
        <w:pStyle w:val="Caption"/>
      </w:pPr>
      <w:proofErr w:type="gramStart"/>
      <w:r>
        <w:t xml:space="preserve">Figure </w:t>
      </w:r>
      <w:fldSimple w:instr=" STYLEREF 1 \s ">
        <w:r>
          <w:rPr>
            <w:noProof/>
          </w:rPr>
          <w:t>3</w:t>
        </w:r>
      </w:fldSimple>
      <w:r>
        <w:t>.</w:t>
      </w:r>
      <w:proofErr w:type="gramEnd"/>
      <w:r w:rsidR="00327F06">
        <w:fldChar w:fldCharType="begin"/>
      </w:r>
      <w:r>
        <w:instrText xml:space="preserve"> SEQ Figure \* ARABIC \s 1 </w:instrText>
      </w:r>
      <w:r w:rsidR="00327F06">
        <w:fldChar w:fldCharType="separate"/>
      </w:r>
      <w:r>
        <w:rPr>
          <w:noProof/>
        </w:rPr>
        <w:t>2</w:t>
      </w:r>
      <w:r w:rsidR="00327F06">
        <w:fldChar w:fldCharType="end"/>
      </w:r>
      <w:r>
        <w:t xml:space="preserve">. </w:t>
      </w:r>
      <w:proofErr w:type="gramStart"/>
      <w:r w:rsidR="00E17753">
        <w:t>Faroe saithe.</w:t>
      </w:r>
      <w:proofErr w:type="gramEnd"/>
      <w:r w:rsidR="00E17753">
        <w:t xml:space="preserve"> </w:t>
      </w:r>
      <w:r>
        <w:t>Recruitment</w:t>
      </w:r>
      <w:r w:rsidR="00E17753">
        <w:t xml:space="preserve"> (millions)(top-left)</w:t>
      </w:r>
      <w:r>
        <w:t>, yield</w:t>
      </w:r>
      <w:r w:rsidR="00E17753">
        <w:t xml:space="preserve"> (‘000 tones)(middle-left)</w:t>
      </w:r>
      <w:r>
        <w:t>, fishing mortality</w:t>
      </w:r>
      <w:r w:rsidR="00E17753">
        <w:t xml:space="preserve"> (</w:t>
      </w:r>
      <w:proofErr w:type="spellStart"/>
      <w:r w:rsidR="00E17753">
        <w:t>Fbar</w:t>
      </w:r>
      <w:proofErr w:type="spellEnd"/>
      <w:r w:rsidR="00E17753">
        <w:t>, average over ages 4 to 8)(bottom-left)</w:t>
      </w:r>
      <w:r>
        <w:t>, spawning-stock-biomass</w:t>
      </w:r>
      <w:r w:rsidR="00E17753">
        <w:t xml:space="preserve"> (‘000 tones)(top-right)</w:t>
      </w:r>
      <w:r>
        <w:t xml:space="preserve">, </w:t>
      </w:r>
      <w:r w:rsidR="00E17753">
        <w:t xml:space="preserve">B4+ </w:t>
      </w:r>
      <w:r>
        <w:t>biomass</w:t>
      </w:r>
      <w:r w:rsidR="00E17753">
        <w:t xml:space="preserve"> (‘000 tones, total biomass of non-recruiting ages)(middle-right) and total biomass (‘000 tones)(bottom-right)</w:t>
      </w:r>
      <w:r w:rsidR="00A73998">
        <w:t xml:space="preserve"> from stochastic simulations (yellow solid lines represent the 25% and 75% percentiles while solid red lines show the 5% and 95% percentiles)</w:t>
      </w:r>
    </w:p>
    <w:p w:rsidR="00F75354" w:rsidRDefault="00F75354" w:rsidP="00A019B4"/>
    <w:p w:rsidR="00FB6849" w:rsidRDefault="00FB6849" w:rsidP="00A019B4"/>
    <w:p w:rsidR="00FB6849" w:rsidRDefault="00FB6849" w:rsidP="00A019B4"/>
    <w:p w:rsidR="00FB6849" w:rsidRDefault="00FB6849" w:rsidP="00A019B4"/>
    <w:p w:rsidR="00FB6849" w:rsidRDefault="00FB6849" w:rsidP="00A019B4"/>
    <w:p w:rsidR="00FB6849" w:rsidRPr="00A019B4" w:rsidRDefault="00FB6849" w:rsidP="00A019B4"/>
    <w:p w:rsidR="00762712" w:rsidRPr="00F75354" w:rsidRDefault="009E6E85" w:rsidP="009E6E85">
      <w:pPr>
        <w:pStyle w:val="Heading1"/>
        <w:numPr>
          <w:ilvl w:val="0"/>
          <w:numId w:val="1"/>
        </w:numPr>
      </w:pPr>
      <w:bookmarkStart w:id="5" w:name="_Ref296503122"/>
      <w:r w:rsidRPr="00F75354">
        <w:lastRenderedPageBreak/>
        <w:t>References</w:t>
      </w:r>
      <w:bookmarkEnd w:id="5"/>
    </w:p>
    <w:p w:rsidR="007C51CB" w:rsidRDefault="00752E64" w:rsidP="007C51CB">
      <w:proofErr w:type="gramStart"/>
      <w:r>
        <w:t>An</w:t>
      </w:r>
      <w:r w:rsidR="007C51CB" w:rsidRPr="007C51CB">
        <w:t>on. 2010.</w:t>
      </w:r>
      <w:proofErr w:type="gramEnd"/>
      <w:r w:rsidR="007C51CB" w:rsidRPr="007C51CB">
        <w:t xml:space="preserve"> </w:t>
      </w:r>
      <w:proofErr w:type="gramStart"/>
      <w:r w:rsidR="007C51CB" w:rsidRPr="007C51CB">
        <w:t>An MSY Framework for Advice</w:t>
      </w:r>
      <w:r w:rsidR="007C51CB">
        <w:t>.</w:t>
      </w:r>
      <w:proofErr w:type="gramEnd"/>
      <w:r w:rsidR="007C51CB">
        <w:t xml:space="preserve"> Draft (Version 1.5)</w:t>
      </w:r>
      <w:r w:rsidR="003E0201">
        <w:t>. ICES 2010</w:t>
      </w:r>
    </w:p>
    <w:p w:rsidR="00752E64" w:rsidRPr="007C51CB" w:rsidRDefault="003E0201" w:rsidP="007C51CB">
      <w:proofErr w:type="gramStart"/>
      <w:r>
        <w:t>Anon. 2010</w:t>
      </w:r>
      <w:r w:rsidR="00752E64">
        <w:t>.</w:t>
      </w:r>
      <w:proofErr w:type="gramEnd"/>
      <w:r w:rsidR="00752E64">
        <w:t xml:space="preserve"> </w:t>
      </w:r>
      <w:proofErr w:type="gramStart"/>
      <w:r w:rsidR="00752E64" w:rsidRPr="00752E64">
        <w:t xml:space="preserve">Benchmark Workshop </w:t>
      </w:r>
      <w:r w:rsidR="00752E64">
        <w:t xml:space="preserve">on </w:t>
      </w:r>
      <w:proofErr w:type="spellStart"/>
      <w:r w:rsidR="00752E64">
        <w:t>Roundfish</w:t>
      </w:r>
      <w:proofErr w:type="spellEnd"/>
      <w:r w:rsidR="00752E64">
        <w:t xml:space="preserve"> 2010 report.</w:t>
      </w:r>
      <w:proofErr w:type="gramEnd"/>
      <w:r w:rsidR="00752E64">
        <w:t xml:space="preserve">  </w:t>
      </w:r>
      <w:proofErr w:type="gramStart"/>
      <w:r w:rsidR="00752E64">
        <w:t>Faroe saithe</w:t>
      </w:r>
      <w:r>
        <w:t>.</w:t>
      </w:r>
      <w:proofErr w:type="gramEnd"/>
      <w:r>
        <w:t xml:space="preserve"> </w:t>
      </w:r>
      <w:proofErr w:type="gramStart"/>
      <w:r>
        <w:t>ICES 2010.</w:t>
      </w:r>
      <w:proofErr w:type="gramEnd"/>
      <w:r w:rsidR="00752E64">
        <w:tab/>
      </w:r>
    </w:p>
    <w:p w:rsidR="00752E64" w:rsidRDefault="003E0201" w:rsidP="00752E64">
      <w:proofErr w:type="gramStart"/>
      <w:r>
        <w:t xml:space="preserve">Anon. </w:t>
      </w:r>
      <w:r w:rsidR="00752E64">
        <w:t>2010.</w:t>
      </w:r>
      <w:proofErr w:type="gramEnd"/>
      <w:r w:rsidR="00752E64">
        <w:t xml:space="preserve"> </w:t>
      </w:r>
      <w:proofErr w:type="gramStart"/>
      <w:r w:rsidR="00752E64">
        <w:t>ICES Nort</w:t>
      </w:r>
      <w:r>
        <w:t>h-Western Working Group report.</w:t>
      </w:r>
      <w:proofErr w:type="gramEnd"/>
      <w:r>
        <w:t xml:space="preserve"> ICES 2010</w:t>
      </w:r>
    </w:p>
    <w:p w:rsidR="00752E64" w:rsidRDefault="00752E64" w:rsidP="00752E64">
      <w:proofErr w:type="gramStart"/>
      <w:r>
        <w:t>Anon.</w:t>
      </w:r>
      <w:proofErr w:type="gramEnd"/>
      <w:r>
        <w:t xml:space="preserve">  </w:t>
      </w:r>
      <w:r w:rsidR="003E0201">
        <w:t xml:space="preserve">2011. </w:t>
      </w:r>
      <w:r>
        <w:t>ICES North-We</w:t>
      </w:r>
      <w:r w:rsidR="003E0201">
        <w:t>stern Working Group report. ICES 2011</w:t>
      </w:r>
    </w:p>
    <w:p w:rsidR="00752E64" w:rsidRPr="007C51CB" w:rsidRDefault="00143C8B" w:rsidP="00752E64">
      <w:proofErr w:type="gramStart"/>
      <w:r>
        <w:t>Anon. 2011.</w:t>
      </w:r>
      <w:proofErr w:type="gramEnd"/>
      <w:r>
        <w:t xml:space="preserve">  </w:t>
      </w:r>
      <w:r w:rsidRPr="00143C8B">
        <w:t xml:space="preserve">Report of the Workshop on Implementing the ICES </w:t>
      </w:r>
      <w:proofErr w:type="spellStart"/>
      <w:r w:rsidRPr="00143C8B">
        <w:t>Fmsy</w:t>
      </w:r>
      <w:proofErr w:type="spellEnd"/>
      <w:r w:rsidRPr="00143C8B">
        <w:t xml:space="preserve"> Framework (WKFRAME-2)</w:t>
      </w:r>
      <w:r w:rsidR="003E0201">
        <w:t>. ICES 2011</w:t>
      </w:r>
    </w:p>
    <w:p w:rsidR="00524AEC" w:rsidRDefault="00D73957" w:rsidP="009E6E85">
      <w:pPr>
        <w:rPr>
          <w:sz w:val="24"/>
          <w:szCs w:val="24"/>
        </w:rPr>
      </w:pPr>
      <w:r>
        <w:rPr>
          <w:sz w:val="24"/>
          <w:szCs w:val="24"/>
        </w:rPr>
        <w:t>FLR:</w:t>
      </w:r>
      <w:r w:rsidR="001975A5" w:rsidRPr="001975A5">
        <w:rPr>
          <w:sz w:val="24"/>
          <w:szCs w:val="24"/>
        </w:rPr>
        <w:t xml:space="preserve"> an open-source framework for the evaluation and development of management strategie</w:t>
      </w:r>
      <w:r>
        <w:rPr>
          <w:sz w:val="24"/>
          <w:szCs w:val="24"/>
        </w:rPr>
        <w:t>s</w:t>
      </w:r>
      <w:r w:rsidR="00524AEC">
        <w:rPr>
          <w:sz w:val="24"/>
          <w:szCs w:val="24"/>
        </w:rPr>
        <w:t>.</w:t>
      </w:r>
    </w:p>
    <w:p w:rsidR="009E6E85" w:rsidRDefault="00524AEC" w:rsidP="009E6E85">
      <w:pPr>
        <w:rPr>
          <w:sz w:val="24"/>
          <w:szCs w:val="24"/>
        </w:rPr>
      </w:pPr>
      <w:proofErr w:type="spellStart"/>
      <w:r>
        <w:t>Reinert</w:t>
      </w:r>
      <w:proofErr w:type="spellEnd"/>
      <w:r>
        <w:t xml:space="preserve">, J. 2010. </w:t>
      </w:r>
      <w:proofErr w:type="spellStart"/>
      <w:proofErr w:type="gramStart"/>
      <w:r w:rsidRPr="00752E64">
        <w:t>Fundir</w:t>
      </w:r>
      <w:proofErr w:type="spellEnd"/>
      <w:r w:rsidRPr="00752E64">
        <w:t xml:space="preserve"> í </w:t>
      </w:r>
      <w:proofErr w:type="spellStart"/>
      <w:r w:rsidRPr="00752E64">
        <w:t>ráðgevandi</w:t>
      </w:r>
      <w:proofErr w:type="spellEnd"/>
      <w:r w:rsidRPr="00752E64">
        <w:t xml:space="preserve"> </w:t>
      </w:r>
      <w:proofErr w:type="spellStart"/>
      <w:r w:rsidRPr="00752E64">
        <w:t>nevndini</w:t>
      </w:r>
      <w:proofErr w:type="spellEnd"/>
      <w:r w:rsidRPr="00752E64">
        <w:t xml:space="preserve"> (ACOM) </w:t>
      </w:r>
      <w:proofErr w:type="spellStart"/>
      <w:r w:rsidRPr="00752E64">
        <w:t>hjá</w:t>
      </w:r>
      <w:proofErr w:type="spellEnd"/>
      <w:r w:rsidRPr="00752E64">
        <w:t xml:space="preserve"> </w:t>
      </w:r>
      <w:proofErr w:type="spellStart"/>
      <w:r w:rsidRPr="00752E64">
        <w:t>Altjóða</w:t>
      </w:r>
      <w:proofErr w:type="spellEnd"/>
      <w:r w:rsidRPr="00752E64">
        <w:t xml:space="preserve"> </w:t>
      </w:r>
      <w:proofErr w:type="spellStart"/>
      <w:r w:rsidRPr="00752E64">
        <w:t>Havrannsóknarstovninum</w:t>
      </w:r>
      <w:proofErr w:type="spellEnd"/>
      <w:r w:rsidRPr="00752E64">
        <w:t xml:space="preserve"> (ICES) í </w:t>
      </w:r>
      <w:proofErr w:type="spellStart"/>
      <w:r w:rsidRPr="00752E64">
        <w:t>mai</w:t>
      </w:r>
      <w:proofErr w:type="spellEnd"/>
      <w:r w:rsidRPr="00752E64">
        <w:t>/</w:t>
      </w:r>
      <w:proofErr w:type="spellStart"/>
      <w:r w:rsidRPr="00752E64">
        <w:t>juni</w:t>
      </w:r>
      <w:proofErr w:type="spellEnd"/>
      <w:r w:rsidRPr="00752E64">
        <w:t xml:space="preserve"> 2010</w:t>
      </w:r>
      <w:r>
        <w:t>.</w:t>
      </w:r>
      <w:proofErr w:type="gramEnd"/>
      <w:r>
        <w:t xml:space="preserve"> </w:t>
      </w:r>
      <w:proofErr w:type="spellStart"/>
      <w:r w:rsidRPr="00752E64">
        <w:t>Niðurstøður</w:t>
      </w:r>
      <w:proofErr w:type="spellEnd"/>
      <w:r w:rsidRPr="00752E64">
        <w:t xml:space="preserve"> </w:t>
      </w:r>
      <w:proofErr w:type="spellStart"/>
      <w:proofErr w:type="gramStart"/>
      <w:r w:rsidRPr="00752E64">
        <w:t>og</w:t>
      </w:r>
      <w:proofErr w:type="spellEnd"/>
      <w:proofErr w:type="gramEnd"/>
      <w:r w:rsidRPr="00752E64">
        <w:t xml:space="preserve"> </w:t>
      </w:r>
      <w:proofErr w:type="spellStart"/>
      <w:r w:rsidRPr="00752E64">
        <w:t>tilmæli</w:t>
      </w:r>
      <w:proofErr w:type="spellEnd"/>
      <w:r w:rsidRPr="00752E64">
        <w:t xml:space="preserve"> </w:t>
      </w:r>
      <w:proofErr w:type="spellStart"/>
      <w:r w:rsidRPr="00752E64">
        <w:t>viðvíkjandi</w:t>
      </w:r>
      <w:proofErr w:type="spellEnd"/>
      <w:r w:rsidRPr="00752E64">
        <w:t xml:space="preserve"> </w:t>
      </w:r>
      <w:proofErr w:type="spellStart"/>
      <w:r w:rsidRPr="00752E64">
        <w:t>høvuðs</w:t>
      </w:r>
      <w:proofErr w:type="spellEnd"/>
      <w:r w:rsidRPr="00752E64">
        <w:t xml:space="preserve"> </w:t>
      </w:r>
      <w:proofErr w:type="spellStart"/>
      <w:r w:rsidRPr="00752E64">
        <w:t>botnfiskastovnunum</w:t>
      </w:r>
      <w:proofErr w:type="spellEnd"/>
      <w:r w:rsidRPr="00752E64">
        <w:t xml:space="preserve"> </w:t>
      </w:r>
      <w:proofErr w:type="spellStart"/>
      <w:r w:rsidRPr="00752E64">
        <w:t>undir</w:t>
      </w:r>
      <w:proofErr w:type="spellEnd"/>
      <w:r w:rsidRPr="00752E64">
        <w:t xml:space="preserve"> </w:t>
      </w:r>
      <w:proofErr w:type="spellStart"/>
      <w:r w:rsidRPr="00752E64">
        <w:t>Føroyum</w:t>
      </w:r>
      <w:proofErr w:type="spellEnd"/>
      <w:r w:rsidRPr="00752E64">
        <w:t xml:space="preserve"> </w:t>
      </w:r>
      <w:proofErr w:type="spellStart"/>
      <w:r w:rsidRPr="00752E64">
        <w:t>saman</w:t>
      </w:r>
      <w:proofErr w:type="spellEnd"/>
      <w:r w:rsidRPr="00752E64">
        <w:t xml:space="preserve"> </w:t>
      </w:r>
      <w:proofErr w:type="spellStart"/>
      <w:r w:rsidRPr="00752E64">
        <w:t>við</w:t>
      </w:r>
      <w:proofErr w:type="spellEnd"/>
      <w:r w:rsidRPr="00752E64">
        <w:t xml:space="preserve"> </w:t>
      </w:r>
      <w:proofErr w:type="spellStart"/>
      <w:r w:rsidRPr="00752E64">
        <w:t>stuttum</w:t>
      </w:r>
      <w:proofErr w:type="spellEnd"/>
      <w:r w:rsidRPr="00752E64">
        <w:t xml:space="preserve"> </w:t>
      </w:r>
      <w:proofErr w:type="spellStart"/>
      <w:r w:rsidRPr="00752E64">
        <w:t>yvirliti</w:t>
      </w:r>
      <w:proofErr w:type="spellEnd"/>
      <w:r w:rsidRPr="00752E64">
        <w:t xml:space="preserve"> </w:t>
      </w:r>
      <w:proofErr w:type="spellStart"/>
      <w:r w:rsidRPr="00752E64">
        <w:t>yvir</w:t>
      </w:r>
      <w:proofErr w:type="spellEnd"/>
      <w:r w:rsidRPr="00752E64">
        <w:t xml:space="preserve"> </w:t>
      </w:r>
      <w:proofErr w:type="spellStart"/>
      <w:r w:rsidRPr="00752E64">
        <w:t>tilmælum</w:t>
      </w:r>
      <w:proofErr w:type="spellEnd"/>
      <w:r w:rsidRPr="00752E64">
        <w:t xml:space="preserve"> </w:t>
      </w:r>
      <w:proofErr w:type="spellStart"/>
      <w:r w:rsidRPr="00752E64">
        <w:t>fyri</w:t>
      </w:r>
      <w:proofErr w:type="spellEnd"/>
      <w:r w:rsidRPr="00752E64">
        <w:t xml:space="preserve"> </w:t>
      </w:r>
      <w:proofErr w:type="spellStart"/>
      <w:r w:rsidRPr="00752E64">
        <w:t>aðrar</w:t>
      </w:r>
      <w:proofErr w:type="spellEnd"/>
      <w:r w:rsidRPr="00752E64">
        <w:t xml:space="preserve"> </w:t>
      </w:r>
      <w:proofErr w:type="spellStart"/>
      <w:r w:rsidRPr="00752E64">
        <w:t>stovnar</w:t>
      </w:r>
      <w:proofErr w:type="spellEnd"/>
      <w:r w:rsidRPr="00752E64">
        <w:t xml:space="preserve"> </w:t>
      </w:r>
      <w:proofErr w:type="spellStart"/>
      <w:r w:rsidRPr="00752E64">
        <w:t>av</w:t>
      </w:r>
      <w:proofErr w:type="spellEnd"/>
      <w:r w:rsidRPr="00752E64">
        <w:t xml:space="preserve"> </w:t>
      </w:r>
      <w:proofErr w:type="spellStart"/>
      <w:r w:rsidRPr="00752E64">
        <w:t>áhuga</w:t>
      </w:r>
      <w:proofErr w:type="spellEnd"/>
      <w:r w:rsidRPr="00752E64">
        <w:t xml:space="preserve"> </w:t>
      </w:r>
      <w:proofErr w:type="spellStart"/>
      <w:r w:rsidRPr="00752E64">
        <w:t>fyri</w:t>
      </w:r>
      <w:proofErr w:type="spellEnd"/>
      <w:r w:rsidRPr="00752E64">
        <w:t xml:space="preserve"> </w:t>
      </w:r>
      <w:proofErr w:type="spellStart"/>
      <w:r w:rsidRPr="00752E64">
        <w:t>Føroyar</w:t>
      </w:r>
      <w:proofErr w:type="spellEnd"/>
      <w:r>
        <w:t>.</w:t>
      </w:r>
    </w:p>
    <w:p w:rsidR="00524AEC" w:rsidRPr="00524AEC" w:rsidRDefault="00524AEC" w:rsidP="00524AEC">
      <w:pPr>
        <w:rPr>
          <w:sz w:val="24"/>
          <w:szCs w:val="24"/>
          <w:lang w:val="da-DK"/>
        </w:rPr>
      </w:pPr>
      <w:r>
        <w:rPr>
          <w:sz w:val="24"/>
          <w:szCs w:val="24"/>
          <w:lang w:val="da-DK"/>
        </w:rPr>
        <w:t xml:space="preserve">Reinert, J. 2011. </w:t>
      </w:r>
      <w:r w:rsidRPr="00524AEC">
        <w:rPr>
          <w:sz w:val="24"/>
          <w:szCs w:val="24"/>
          <w:lang w:val="da-DK"/>
        </w:rPr>
        <w:t>Stovnsmetingar 2011 og útlit</w:t>
      </w:r>
      <w:r>
        <w:rPr>
          <w:sz w:val="24"/>
          <w:szCs w:val="24"/>
          <w:lang w:val="da-DK"/>
        </w:rPr>
        <w:t xml:space="preserve"> </w:t>
      </w:r>
      <w:r w:rsidRPr="00524AEC">
        <w:rPr>
          <w:sz w:val="24"/>
          <w:szCs w:val="24"/>
          <w:lang w:val="da-DK"/>
        </w:rPr>
        <w:t>fyri tosk, hýsu og upsa</w:t>
      </w:r>
      <w:r>
        <w:rPr>
          <w:sz w:val="24"/>
          <w:szCs w:val="24"/>
          <w:lang w:val="da-DK"/>
        </w:rPr>
        <w:t xml:space="preserve"> </w:t>
      </w:r>
      <w:r w:rsidRPr="00524AEC">
        <w:rPr>
          <w:sz w:val="24"/>
          <w:szCs w:val="24"/>
          <w:lang w:val="da-DK"/>
        </w:rPr>
        <w:t>og ICES ráðgeving fyri 2012</w:t>
      </w:r>
      <w:r>
        <w:rPr>
          <w:sz w:val="24"/>
          <w:szCs w:val="24"/>
          <w:lang w:val="da-DK"/>
        </w:rPr>
        <w:t>.</w:t>
      </w:r>
    </w:p>
    <w:sectPr w:rsidR="00524AEC" w:rsidRPr="00524AEC" w:rsidSect="00F67947">
      <w:headerReference w:type="default" r:id="rId16"/>
      <w:footerReference w:type="default" r:id="rId17"/>
      <w:pgSz w:w="12240" w:h="15840"/>
      <w:pgMar w:top="1701" w:right="1134" w:bottom="1701" w:left="1134" w:header="170" w:footer="0" w:gutter="0"/>
      <w:pgBorders w:offsetFrom="page">
        <w:top w:val="single" w:sz="4" w:space="24" w:color="BFBFBF" w:themeColor="background1" w:themeShade="BF"/>
        <w:left w:val="single" w:sz="4" w:space="24" w:color="BFBFBF" w:themeColor="background1" w:themeShade="BF"/>
        <w:bottom w:val="single" w:sz="4" w:space="24" w:color="BFBFBF" w:themeColor="background1" w:themeShade="BF"/>
        <w:right w:val="single" w:sz="4" w:space="24" w:color="BFBFBF" w:themeColor="background1"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5C9" w:rsidRDefault="003D75C9" w:rsidP="00FC3D16">
      <w:pPr>
        <w:spacing w:after="0" w:line="240" w:lineRule="auto"/>
      </w:pPr>
      <w:r>
        <w:separator/>
      </w:r>
    </w:p>
  </w:endnote>
  <w:endnote w:type="continuationSeparator" w:id="0">
    <w:p w:rsidR="003D75C9" w:rsidRDefault="003D75C9" w:rsidP="00FC3D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16" w:rsidRPr="00F67947" w:rsidRDefault="00FC3D16" w:rsidP="00FC3D16">
    <w:pPr>
      <w:pStyle w:val="Footer"/>
      <w:jc w:val="center"/>
      <w:rPr>
        <w:sz w:val="18"/>
        <w:szCs w:val="18"/>
      </w:rPr>
    </w:pPr>
    <w:r w:rsidRPr="00F67947">
      <w:rPr>
        <w:sz w:val="18"/>
        <w:szCs w:val="18"/>
      </w:rPr>
      <w:t xml:space="preserve">Page </w:t>
    </w:r>
    <w:r w:rsidR="00327F06" w:rsidRPr="00F67947">
      <w:rPr>
        <w:b/>
        <w:sz w:val="18"/>
        <w:szCs w:val="18"/>
      </w:rPr>
      <w:fldChar w:fldCharType="begin"/>
    </w:r>
    <w:r w:rsidRPr="00F67947">
      <w:rPr>
        <w:b/>
        <w:sz w:val="18"/>
        <w:szCs w:val="18"/>
      </w:rPr>
      <w:instrText xml:space="preserve"> PAGE </w:instrText>
    </w:r>
    <w:r w:rsidR="00327F06" w:rsidRPr="00F67947">
      <w:rPr>
        <w:b/>
        <w:sz w:val="18"/>
        <w:szCs w:val="18"/>
      </w:rPr>
      <w:fldChar w:fldCharType="separate"/>
    </w:r>
    <w:r w:rsidR="00C83777">
      <w:rPr>
        <w:b/>
        <w:noProof/>
        <w:sz w:val="18"/>
        <w:szCs w:val="18"/>
      </w:rPr>
      <w:t>1</w:t>
    </w:r>
    <w:r w:rsidR="00327F06" w:rsidRPr="00F67947">
      <w:rPr>
        <w:b/>
        <w:sz w:val="18"/>
        <w:szCs w:val="18"/>
      </w:rPr>
      <w:fldChar w:fldCharType="end"/>
    </w:r>
    <w:r w:rsidRPr="00F67947">
      <w:rPr>
        <w:sz w:val="18"/>
        <w:szCs w:val="18"/>
      </w:rPr>
      <w:t xml:space="preserve"> of </w:t>
    </w:r>
    <w:r w:rsidR="00327F06" w:rsidRPr="00F67947">
      <w:rPr>
        <w:b/>
        <w:sz w:val="18"/>
        <w:szCs w:val="18"/>
      </w:rPr>
      <w:fldChar w:fldCharType="begin"/>
    </w:r>
    <w:r w:rsidRPr="00F67947">
      <w:rPr>
        <w:b/>
        <w:sz w:val="18"/>
        <w:szCs w:val="18"/>
      </w:rPr>
      <w:instrText xml:space="preserve"> NUMPAGES  </w:instrText>
    </w:r>
    <w:r w:rsidR="00327F06" w:rsidRPr="00F67947">
      <w:rPr>
        <w:b/>
        <w:sz w:val="18"/>
        <w:szCs w:val="18"/>
      </w:rPr>
      <w:fldChar w:fldCharType="separate"/>
    </w:r>
    <w:r w:rsidR="00C83777">
      <w:rPr>
        <w:b/>
        <w:noProof/>
        <w:sz w:val="18"/>
        <w:szCs w:val="18"/>
      </w:rPr>
      <w:t>10</w:t>
    </w:r>
    <w:r w:rsidR="00327F06" w:rsidRPr="00F67947">
      <w:rPr>
        <w:b/>
        <w:sz w:val="18"/>
        <w:szCs w:val="18"/>
      </w:rPr>
      <w:fldChar w:fldCharType="end"/>
    </w:r>
  </w:p>
  <w:p w:rsidR="00FC3D16" w:rsidRDefault="00FC3D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5C9" w:rsidRDefault="003D75C9" w:rsidP="00FC3D16">
      <w:pPr>
        <w:spacing w:after="0" w:line="240" w:lineRule="auto"/>
      </w:pPr>
      <w:r>
        <w:separator/>
      </w:r>
    </w:p>
  </w:footnote>
  <w:footnote w:type="continuationSeparator" w:id="0">
    <w:p w:rsidR="003D75C9" w:rsidRDefault="003D75C9" w:rsidP="00FC3D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16" w:rsidRDefault="00327F06" w:rsidP="00FC3D16">
    <w:pPr>
      <w:pStyle w:val="Header"/>
      <w:jc w:val="center"/>
    </w:pPr>
    <w:fldSimple w:instr=" FILENAME   \* MERGEFORMAT ">
      <w:r w:rsidR="00762712">
        <w:rPr>
          <w:noProof/>
        </w:rPr>
        <w:t>Fragreiðing_Burðardyggur_Fiskiskapur_eftir_Upsa</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C07EB"/>
    <w:multiLevelType w:val="hybridMultilevel"/>
    <w:tmpl w:val="023AB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AE1FF5"/>
    <w:multiLevelType w:val="hybridMultilevel"/>
    <w:tmpl w:val="68A60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FC3D16"/>
    <w:rsid w:val="000242AE"/>
    <w:rsid w:val="00047EE5"/>
    <w:rsid w:val="000672C5"/>
    <w:rsid w:val="00087F02"/>
    <w:rsid w:val="00090588"/>
    <w:rsid w:val="00097DD5"/>
    <w:rsid w:val="000A0B14"/>
    <w:rsid w:val="000B41FC"/>
    <w:rsid w:val="000C2754"/>
    <w:rsid w:val="00103751"/>
    <w:rsid w:val="00103E51"/>
    <w:rsid w:val="00114845"/>
    <w:rsid w:val="001148D8"/>
    <w:rsid w:val="00143C8B"/>
    <w:rsid w:val="00147EC2"/>
    <w:rsid w:val="0015255F"/>
    <w:rsid w:val="00152B5D"/>
    <w:rsid w:val="00155ECF"/>
    <w:rsid w:val="00170D0E"/>
    <w:rsid w:val="001975A5"/>
    <w:rsid w:val="001A70C6"/>
    <w:rsid w:val="001C4C7C"/>
    <w:rsid w:val="001F24CB"/>
    <w:rsid w:val="002068E9"/>
    <w:rsid w:val="00231868"/>
    <w:rsid w:val="002618B0"/>
    <w:rsid w:val="002A288C"/>
    <w:rsid w:val="002B685E"/>
    <w:rsid w:val="0030606E"/>
    <w:rsid w:val="00327F06"/>
    <w:rsid w:val="0034799B"/>
    <w:rsid w:val="00357AE9"/>
    <w:rsid w:val="0036390C"/>
    <w:rsid w:val="00373512"/>
    <w:rsid w:val="00390F1F"/>
    <w:rsid w:val="003A0C6E"/>
    <w:rsid w:val="003A2912"/>
    <w:rsid w:val="003B2603"/>
    <w:rsid w:val="003D75C9"/>
    <w:rsid w:val="003E0201"/>
    <w:rsid w:val="003E031B"/>
    <w:rsid w:val="00436583"/>
    <w:rsid w:val="004418DB"/>
    <w:rsid w:val="00443C15"/>
    <w:rsid w:val="004548BC"/>
    <w:rsid w:val="004A0BDC"/>
    <w:rsid w:val="004A47DA"/>
    <w:rsid w:val="004E0991"/>
    <w:rsid w:val="004E6B6C"/>
    <w:rsid w:val="004F5688"/>
    <w:rsid w:val="00524AEC"/>
    <w:rsid w:val="00554424"/>
    <w:rsid w:val="005737B8"/>
    <w:rsid w:val="005B2DFD"/>
    <w:rsid w:val="00614224"/>
    <w:rsid w:val="006859E8"/>
    <w:rsid w:val="006B699A"/>
    <w:rsid w:val="00712007"/>
    <w:rsid w:val="007157A3"/>
    <w:rsid w:val="007374F5"/>
    <w:rsid w:val="00752E64"/>
    <w:rsid w:val="0076256E"/>
    <w:rsid w:val="00762712"/>
    <w:rsid w:val="00762A5B"/>
    <w:rsid w:val="00783801"/>
    <w:rsid w:val="00786FB4"/>
    <w:rsid w:val="007B53BD"/>
    <w:rsid w:val="007C51CB"/>
    <w:rsid w:val="007C6659"/>
    <w:rsid w:val="007D1C13"/>
    <w:rsid w:val="00820760"/>
    <w:rsid w:val="00841CE7"/>
    <w:rsid w:val="00854AA9"/>
    <w:rsid w:val="00872712"/>
    <w:rsid w:val="008769B0"/>
    <w:rsid w:val="00887000"/>
    <w:rsid w:val="008A2407"/>
    <w:rsid w:val="008A43B0"/>
    <w:rsid w:val="008A44A1"/>
    <w:rsid w:val="008C4757"/>
    <w:rsid w:val="008E1C97"/>
    <w:rsid w:val="009120B9"/>
    <w:rsid w:val="00925E51"/>
    <w:rsid w:val="00964F55"/>
    <w:rsid w:val="0098130D"/>
    <w:rsid w:val="009B140B"/>
    <w:rsid w:val="009C7365"/>
    <w:rsid w:val="009E6E85"/>
    <w:rsid w:val="00A00E1E"/>
    <w:rsid w:val="00A019B4"/>
    <w:rsid w:val="00A11E68"/>
    <w:rsid w:val="00A20474"/>
    <w:rsid w:val="00A419D8"/>
    <w:rsid w:val="00A73998"/>
    <w:rsid w:val="00A9150D"/>
    <w:rsid w:val="00AA2EA0"/>
    <w:rsid w:val="00B03651"/>
    <w:rsid w:val="00B32E58"/>
    <w:rsid w:val="00B36BBB"/>
    <w:rsid w:val="00B62C50"/>
    <w:rsid w:val="00B8526B"/>
    <w:rsid w:val="00BA4AD8"/>
    <w:rsid w:val="00BB521C"/>
    <w:rsid w:val="00C42F21"/>
    <w:rsid w:val="00C83777"/>
    <w:rsid w:val="00C83E11"/>
    <w:rsid w:val="00C9439B"/>
    <w:rsid w:val="00CF73EA"/>
    <w:rsid w:val="00D61FFA"/>
    <w:rsid w:val="00D73957"/>
    <w:rsid w:val="00DE6094"/>
    <w:rsid w:val="00DF7103"/>
    <w:rsid w:val="00E06472"/>
    <w:rsid w:val="00E109B6"/>
    <w:rsid w:val="00E17753"/>
    <w:rsid w:val="00EA0FC0"/>
    <w:rsid w:val="00EB18B6"/>
    <w:rsid w:val="00EC4CE2"/>
    <w:rsid w:val="00EF0A07"/>
    <w:rsid w:val="00F0086C"/>
    <w:rsid w:val="00F078F8"/>
    <w:rsid w:val="00F666F2"/>
    <w:rsid w:val="00F67947"/>
    <w:rsid w:val="00F75354"/>
    <w:rsid w:val="00F8429B"/>
    <w:rsid w:val="00F87330"/>
    <w:rsid w:val="00FB1B59"/>
    <w:rsid w:val="00FB6849"/>
    <w:rsid w:val="00FC2A11"/>
    <w:rsid w:val="00FC3D16"/>
    <w:rsid w:val="00FF2832"/>
    <w:rsid w:val="00FF6D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7" type="connector" idref="#_x0000_s1029"/>
        <o:r id="V:Rule8" type="connector" idref="#_x0000_s1034"/>
        <o:r id="V:Rule9" type="connector" idref="#_x0000_s1035"/>
        <o:r id="V:Rule10" type="connector" idref="#_x0000_s1033"/>
        <o:r id="V:Rule11" type="connector" idref="#_x0000_s1030"/>
        <o:r id="V:Rule1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912"/>
    <w:pPr>
      <w:spacing w:after="200" w:line="276" w:lineRule="auto"/>
    </w:pPr>
    <w:rPr>
      <w:sz w:val="22"/>
      <w:szCs w:val="22"/>
    </w:rPr>
  </w:style>
  <w:style w:type="paragraph" w:styleId="Heading1">
    <w:name w:val="heading 1"/>
    <w:basedOn w:val="Normal"/>
    <w:next w:val="Normal"/>
    <w:link w:val="Heading1Char"/>
    <w:uiPriority w:val="9"/>
    <w:qFormat/>
    <w:rsid w:val="0076271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AA2E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3D16"/>
    <w:pPr>
      <w:tabs>
        <w:tab w:val="center" w:pos="4986"/>
        <w:tab w:val="right" w:pos="9972"/>
      </w:tabs>
      <w:spacing w:after="0" w:line="240" w:lineRule="auto"/>
    </w:pPr>
  </w:style>
  <w:style w:type="character" w:customStyle="1" w:styleId="HeaderChar">
    <w:name w:val="Header Char"/>
    <w:basedOn w:val="DefaultParagraphFont"/>
    <w:link w:val="Header"/>
    <w:uiPriority w:val="99"/>
    <w:semiHidden/>
    <w:rsid w:val="00FC3D16"/>
  </w:style>
  <w:style w:type="paragraph" w:styleId="Footer">
    <w:name w:val="footer"/>
    <w:basedOn w:val="Normal"/>
    <w:link w:val="FooterChar"/>
    <w:uiPriority w:val="99"/>
    <w:unhideWhenUsed/>
    <w:rsid w:val="00FC3D16"/>
    <w:pPr>
      <w:tabs>
        <w:tab w:val="center" w:pos="4986"/>
        <w:tab w:val="right" w:pos="9972"/>
      </w:tabs>
      <w:spacing w:after="0" w:line="240" w:lineRule="auto"/>
    </w:pPr>
  </w:style>
  <w:style w:type="character" w:customStyle="1" w:styleId="FooterChar">
    <w:name w:val="Footer Char"/>
    <w:basedOn w:val="DefaultParagraphFont"/>
    <w:link w:val="Footer"/>
    <w:uiPriority w:val="99"/>
    <w:rsid w:val="00FC3D16"/>
  </w:style>
  <w:style w:type="character" w:customStyle="1" w:styleId="Heading1Char">
    <w:name w:val="Heading 1 Char"/>
    <w:basedOn w:val="DefaultParagraphFont"/>
    <w:link w:val="Heading1"/>
    <w:uiPriority w:val="9"/>
    <w:rsid w:val="00762712"/>
    <w:rPr>
      <w:rFonts w:ascii="Cambria" w:eastAsia="Times New Roman" w:hAnsi="Cambria" w:cs="Times New Roman"/>
      <w:b/>
      <w:bCs/>
      <w:kern w:val="32"/>
      <w:sz w:val="32"/>
      <w:szCs w:val="32"/>
    </w:rPr>
  </w:style>
  <w:style w:type="character" w:customStyle="1" w:styleId="FootnoteCharacters">
    <w:name w:val="Footnote Characters"/>
    <w:basedOn w:val="DefaultParagraphFont"/>
    <w:rsid w:val="007C51CB"/>
    <w:rPr>
      <w:rFonts w:cs="Times New Roman"/>
      <w:vertAlign w:val="superscript"/>
    </w:rPr>
  </w:style>
  <w:style w:type="paragraph" w:styleId="FootnoteText">
    <w:name w:val="footnote text"/>
    <w:basedOn w:val="Normal"/>
    <w:link w:val="FootnoteTextChar"/>
    <w:rsid w:val="007C51CB"/>
    <w:pPr>
      <w:suppressAutoHyphens/>
    </w:pPr>
    <w:rPr>
      <w:rFonts w:cs="Calibri"/>
      <w:sz w:val="20"/>
      <w:szCs w:val="20"/>
      <w:lang w:val="en-GB" w:eastAsia="ar-SA"/>
    </w:rPr>
  </w:style>
  <w:style w:type="character" w:customStyle="1" w:styleId="FootnoteTextChar">
    <w:name w:val="Footnote Text Char"/>
    <w:basedOn w:val="DefaultParagraphFont"/>
    <w:link w:val="FootnoteText"/>
    <w:rsid w:val="007C51CB"/>
    <w:rPr>
      <w:rFonts w:cs="Calibri"/>
      <w:lang w:val="en-GB" w:eastAsia="ar-SA"/>
    </w:rPr>
  </w:style>
  <w:style w:type="paragraph" w:styleId="BalloonText">
    <w:name w:val="Balloon Text"/>
    <w:basedOn w:val="Normal"/>
    <w:link w:val="BalloonTextChar"/>
    <w:uiPriority w:val="99"/>
    <w:semiHidden/>
    <w:unhideWhenUsed/>
    <w:rsid w:val="00EF0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A07"/>
    <w:rPr>
      <w:rFonts w:ascii="Tahoma" w:hAnsi="Tahoma" w:cs="Tahoma"/>
      <w:sz w:val="16"/>
      <w:szCs w:val="16"/>
    </w:rPr>
  </w:style>
  <w:style w:type="paragraph" w:styleId="Caption">
    <w:name w:val="caption"/>
    <w:basedOn w:val="Normal"/>
    <w:next w:val="Normal"/>
    <w:uiPriority w:val="35"/>
    <w:unhideWhenUsed/>
    <w:qFormat/>
    <w:rsid w:val="00C9439B"/>
    <w:rPr>
      <w:b/>
      <w:bCs/>
      <w:sz w:val="20"/>
      <w:szCs w:val="20"/>
    </w:rPr>
  </w:style>
  <w:style w:type="character" w:styleId="Hyperlink">
    <w:name w:val="Hyperlink"/>
    <w:basedOn w:val="DefaultParagraphFont"/>
    <w:uiPriority w:val="99"/>
    <w:semiHidden/>
    <w:unhideWhenUsed/>
    <w:rsid w:val="004F5688"/>
    <w:rPr>
      <w:color w:val="0000FF"/>
      <w:u w:val="single"/>
    </w:rPr>
  </w:style>
  <w:style w:type="character" w:styleId="PlaceholderText">
    <w:name w:val="Placeholder Text"/>
    <w:basedOn w:val="DefaultParagraphFont"/>
    <w:uiPriority w:val="99"/>
    <w:semiHidden/>
    <w:rsid w:val="000B41FC"/>
    <w:rPr>
      <w:color w:val="808080"/>
    </w:rPr>
  </w:style>
  <w:style w:type="character" w:customStyle="1" w:styleId="Heading2Char">
    <w:name w:val="Heading 2 Char"/>
    <w:basedOn w:val="DefaultParagraphFont"/>
    <w:link w:val="Heading2"/>
    <w:uiPriority w:val="9"/>
    <w:rsid w:val="00AA2EA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97DD5"/>
    <w:pPr>
      <w:ind w:left="720"/>
      <w:contextualSpacing/>
    </w:pPr>
  </w:style>
</w:styles>
</file>

<file path=word/webSettings.xml><?xml version="1.0" encoding="utf-8"?>
<w:webSettings xmlns:r="http://schemas.openxmlformats.org/officeDocument/2006/relationships" xmlns:w="http://schemas.openxmlformats.org/wordprocessingml/2006/main">
  <w:divs>
    <w:div w:id="213805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iki.flr-project.org/"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2923E-1A7E-46E3-94FD-8E70D4A2B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10</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FRS</Company>
  <LinksUpToDate>false</LinksUpToDate>
  <CharactersWithSpaces>10329</CharactersWithSpaces>
  <SharedDoc>false</SharedDoc>
  <HLinks>
    <vt:vector size="6" baseType="variant">
      <vt:variant>
        <vt:i4>5242907</vt:i4>
      </vt:variant>
      <vt:variant>
        <vt:i4>9</vt:i4>
      </vt:variant>
      <vt:variant>
        <vt:i4>0</vt:i4>
      </vt:variant>
      <vt:variant>
        <vt:i4>5</vt:i4>
      </vt:variant>
      <vt:variant>
        <vt:lpwstr>http://wiki.flr-project.org/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 Cruz</dc:creator>
  <cp:keywords/>
  <dc:description/>
  <cp:lastModifiedBy>Luis R. Cruz</cp:lastModifiedBy>
  <cp:revision>29</cp:revision>
  <dcterms:created xsi:type="dcterms:W3CDTF">2011-05-23T13:06:00Z</dcterms:created>
  <dcterms:modified xsi:type="dcterms:W3CDTF">2011-06-22T10:01:00Z</dcterms:modified>
</cp:coreProperties>
</file>